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7C4EF">
      <w:pPr>
        <w:spacing w:line="600" w:lineRule="exact"/>
        <w:rPr>
          <w:rStyle w:val="16"/>
          <w:rFonts w:ascii="Times New Roman" w:hAnsi="Times New Roman"/>
          <w:b w:val="0"/>
          <w:sz w:val="32"/>
          <w:szCs w:val="32"/>
        </w:rPr>
      </w:pPr>
      <w:bookmarkStart w:id="0" w:name="_Toc17658"/>
      <w:bookmarkStart w:id="1" w:name="_Toc21372"/>
      <w:r>
        <w:rPr>
          <w:rStyle w:val="16"/>
          <w:rFonts w:ascii="Times New Roman" w:hAnsi="Times New Roman"/>
          <w:b w:val="0"/>
          <w:sz w:val="32"/>
          <w:szCs w:val="32"/>
        </w:rPr>
        <w:t>附件</w:t>
      </w:r>
      <w:r>
        <w:rPr>
          <w:rStyle w:val="16"/>
          <w:rFonts w:ascii="Times New Roman" w:hAnsi="Times New Roman"/>
          <w:sz w:val="32"/>
          <w:szCs w:val="32"/>
        </w:rPr>
        <w:t>2</w:t>
      </w:r>
    </w:p>
    <w:p w14:paraId="264AEE66">
      <w:pPr>
        <w:spacing w:line="600" w:lineRule="exact"/>
        <w:jc w:val="center"/>
        <w:rPr>
          <w:rStyle w:val="16"/>
          <w:rFonts w:ascii="Times New Roman" w:hAnsi="Times New Roman" w:eastAsia="方正小标宋简体"/>
          <w:b w:val="0"/>
          <w:bCs/>
          <w:szCs w:val="44"/>
        </w:rPr>
      </w:pPr>
      <w:r>
        <w:rPr>
          <w:rStyle w:val="16"/>
          <w:rFonts w:ascii="Times New Roman" w:hAnsi="Times New Roman" w:eastAsia="方正小标宋简体"/>
          <w:b w:val="0"/>
          <w:bCs/>
          <w:szCs w:val="44"/>
        </w:rPr>
        <w:t>自然资源科学技术奖推荐书</w:t>
      </w:r>
    </w:p>
    <w:p w14:paraId="23A89659">
      <w:pPr>
        <w:spacing w:line="600" w:lineRule="exact"/>
        <w:jc w:val="center"/>
        <w:rPr>
          <w:rStyle w:val="16"/>
          <w:rFonts w:ascii="Times New Roman" w:hAnsi="Times New Roman" w:eastAsia="方正小标宋简体"/>
          <w:b w:val="0"/>
          <w:bCs/>
          <w:szCs w:val="44"/>
        </w:rPr>
      </w:pPr>
      <w:r>
        <w:rPr>
          <w:rStyle w:val="16"/>
          <w:rFonts w:ascii="Times New Roman" w:hAnsi="Times New Roman" w:eastAsia="方正小标宋简体"/>
          <w:b w:val="0"/>
          <w:bCs/>
          <w:szCs w:val="44"/>
        </w:rPr>
        <w:t>（科技进步奖）</w:t>
      </w:r>
    </w:p>
    <w:bookmarkEnd w:id="0"/>
    <w:bookmarkEnd w:id="1"/>
    <w:p w14:paraId="159C9F43">
      <w:pPr>
        <w:spacing w:line="500" w:lineRule="exact"/>
        <w:jc w:val="center"/>
        <w:rPr>
          <w:rFonts w:ascii="Times New Roman" w:hAnsi="Times New Roman" w:eastAsia="仿宋"/>
          <w:b/>
          <w:sz w:val="30"/>
          <w:szCs w:val="30"/>
        </w:rPr>
      </w:pPr>
      <w:r>
        <w:rPr>
          <w:rFonts w:ascii="Times New Roman" w:hAnsi="Times New Roman" w:eastAsia="仿宋"/>
          <w:b/>
          <w:sz w:val="30"/>
          <w:szCs w:val="30"/>
        </w:rPr>
        <w:t>（202</w:t>
      </w:r>
      <w:r>
        <w:rPr>
          <w:rFonts w:hint="eastAsia" w:ascii="Times New Roman" w:hAnsi="Times New Roman" w:eastAsia="仿宋"/>
          <w:b/>
          <w:sz w:val="30"/>
          <w:szCs w:val="30"/>
        </w:rPr>
        <w:t>6</w:t>
      </w:r>
      <w:r>
        <w:rPr>
          <w:rFonts w:ascii="Times New Roman" w:hAnsi="Times New Roman" w:eastAsia="仿宋"/>
          <w:b/>
          <w:sz w:val="30"/>
          <w:szCs w:val="30"/>
        </w:rPr>
        <w:t>年）</w:t>
      </w:r>
    </w:p>
    <w:p w14:paraId="34969965">
      <w:pPr>
        <w:spacing w:line="600" w:lineRule="exact"/>
        <w:jc w:val="center"/>
        <w:rPr>
          <w:rFonts w:ascii="Times New Roman" w:hAnsi="Times New Roman" w:eastAsia="黑体"/>
          <w:sz w:val="32"/>
          <w:szCs w:val="32"/>
        </w:rPr>
      </w:pPr>
      <w:r>
        <w:rPr>
          <w:rFonts w:ascii="Times New Roman" w:hAnsi="Times New Roman" w:eastAsia="黑体"/>
          <w:sz w:val="32"/>
          <w:szCs w:val="32"/>
        </w:rPr>
        <w:t>一、成果基本情况</w:t>
      </w:r>
    </w:p>
    <w:tbl>
      <w:tblPr>
        <w:tblStyle w:val="10"/>
        <w:tblW w:w="95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565"/>
        <w:gridCol w:w="427"/>
        <w:gridCol w:w="338"/>
        <w:gridCol w:w="999"/>
        <w:gridCol w:w="1784"/>
        <w:gridCol w:w="1014"/>
        <w:gridCol w:w="330"/>
        <w:gridCol w:w="471"/>
        <w:gridCol w:w="251"/>
        <w:gridCol w:w="643"/>
        <w:gridCol w:w="46"/>
        <w:gridCol w:w="1664"/>
      </w:tblGrid>
      <w:tr w14:paraId="755E6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45" w:hRule="atLeast"/>
          <w:jc w:val="center"/>
        </w:trPr>
        <w:tc>
          <w:tcPr>
            <w:tcW w:w="1992" w:type="dxa"/>
            <w:gridSpan w:val="2"/>
            <w:tcBorders>
              <w:top w:val="nil"/>
              <w:left w:val="nil"/>
              <w:bottom w:val="nil"/>
              <w:right w:val="nil"/>
            </w:tcBorders>
            <w:vAlign w:val="center"/>
          </w:tcPr>
          <w:p w14:paraId="1087792F">
            <w:pPr>
              <w:snapToGrid w:val="0"/>
              <w:spacing w:line="240" w:lineRule="exact"/>
              <w:jc w:val="center"/>
              <w:rPr>
                <w:rFonts w:ascii="Times New Roman" w:hAnsi="Times New Roman" w:eastAsia="黑体"/>
                <w:szCs w:val="21"/>
              </w:rPr>
            </w:pPr>
            <w:r>
              <w:rPr>
                <w:rFonts w:ascii="Times New Roman" w:hAnsi="Times New Roman" w:eastAsia="黑体"/>
                <w:szCs w:val="21"/>
              </w:rPr>
              <w:t>专业评审组</w:t>
            </w:r>
          </w:p>
        </w:tc>
        <w:tc>
          <w:tcPr>
            <w:tcW w:w="4135" w:type="dxa"/>
            <w:gridSpan w:val="4"/>
            <w:tcBorders>
              <w:top w:val="nil"/>
              <w:left w:val="nil"/>
              <w:bottom w:val="nil"/>
              <w:right w:val="nil"/>
            </w:tcBorders>
            <w:vAlign w:val="center"/>
          </w:tcPr>
          <w:p w14:paraId="3840AA1C">
            <w:pPr>
              <w:snapToGrid w:val="0"/>
              <w:spacing w:line="240" w:lineRule="exact"/>
              <w:rPr>
                <w:rFonts w:hint="default" w:ascii="Times New Roman" w:hAnsi="Times New Roman" w:eastAsia="黑体"/>
                <w:szCs w:val="21"/>
                <w:lang w:val="en-US" w:eastAsia="zh-CN"/>
              </w:rPr>
            </w:pPr>
            <w:r>
              <w:rPr>
                <w:rFonts w:hint="eastAsia" w:ascii="Times New Roman" w:hAnsi="Times New Roman" w:eastAsia="黑体"/>
                <w:szCs w:val="21"/>
                <w:lang w:val="en-US" w:eastAsia="zh-CN"/>
              </w:rPr>
              <w:t>中国自然资源学会</w:t>
            </w:r>
          </w:p>
        </w:tc>
        <w:tc>
          <w:tcPr>
            <w:tcW w:w="1052" w:type="dxa"/>
            <w:gridSpan w:val="3"/>
            <w:tcBorders>
              <w:top w:val="nil"/>
              <w:left w:val="nil"/>
              <w:bottom w:val="nil"/>
              <w:right w:val="nil"/>
            </w:tcBorders>
            <w:vAlign w:val="center"/>
          </w:tcPr>
          <w:p w14:paraId="23CACA31">
            <w:pPr>
              <w:snapToGrid w:val="0"/>
              <w:spacing w:line="240" w:lineRule="exact"/>
              <w:jc w:val="center"/>
              <w:rPr>
                <w:rFonts w:ascii="Times New Roman" w:hAnsi="Times New Roman" w:eastAsia="黑体"/>
                <w:szCs w:val="21"/>
              </w:rPr>
            </w:pPr>
            <w:r>
              <w:rPr>
                <w:rFonts w:ascii="Times New Roman" w:hAnsi="Times New Roman" w:eastAsia="黑体"/>
                <w:szCs w:val="21"/>
              </w:rPr>
              <w:t>成果编号</w:t>
            </w:r>
          </w:p>
        </w:tc>
        <w:tc>
          <w:tcPr>
            <w:tcW w:w="2353" w:type="dxa"/>
            <w:gridSpan w:val="3"/>
            <w:tcBorders>
              <w:top w:val="nil"/>
              <w:left w:val="nil"/>
              <w:bottom w:val="nil"/>
              <w:right w:val="nil"/>
            </w:tcBorders>
            <w:vAlign w:val="center"/>
          </w:tcPr>
          <w:p w14:paraId="35BB815C">
            <w:pPr>
              <w:spacing w:line="240" w:lineRule="exact"/>
              <w:ind w:left="34"/>
              <w:rPr>
                <w:rFonts w:ascii="Times New Roman" w:hAnsi="Times New Roman" w:eastAsia="黑体"/>
                <w:szCs w:val="21"/>
              </w:rPr>
            </w:pPr>
            <w:r>
              <w:rPr>
                <w:rFonts w:ascii="Times New Roman" w:hAnsi="Times New Roman" w:eastAsia="黑体"/>
                <w:szCs w:val="21"/>
              </w:rPr>
              <w:t xml:space="preserve"> </w:t>
            </w:r>
          </w:p>
        </w:tc>
      </w:tr>
      <w:tr w14:paraId="4C146D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12" w:hRule="exact"/>
          <w:jc w:val="center"/>
        </w:trPr>
        <w:tc>
          <w:tcPr>
            <w:tcW w:w="1992" w:type="dxa"/>
            <w:gridSpan w:val="2"/>
            <w:tcBorders>
              <w:top w:val="single" w:color="auto" w:sz="12" w:space="0"/>
              <w:left w:val="single" w:color="auto" w:sz="12" w:space="0"/>
            </w:tcBorders>
            <w:vAlign w:val="center"/>
          </w:tcPr>
          <w:p w14:paraId="425A9F51">
            <w:pPr>
              <w:pStyle w:val="6"/>
              <w:spacing w:line="390" w:lineRule="exact"/>
              <w:ind w:firstLine="0" w:firstLineChars="0"/>
              <w:jc w:val="center"/>
              <w:rPr>
                <w:rFonts w:ascii="Times New Roman" w:hAnsi="Times New Roman"/>
              </w:rPr>
            </w:pPr>
            <w:r>
              <w:rPr>
                <w:rFonts w:ascii="Times New Roman" w:hAnsi="Times New Roman"/>
              </w:rPr>
              <w:t>成果名称</w:t>
            </w:r>
          </w:p>
        </w:tc>
        <w:tc>
          <w:tcPr>
            <w:tcW w:w="7540" w:type="dxa"/>
            <w:gridSpan w:val="10"/>
            <w:tcBorders>
              <w:top w:val="single" w:color="auto" w:sz="12" w:space="0"/>
              <w:bottom w:val="single" w:color="auto" w:sz="6" w:space="0"/>
              <w:right w:val="single" w:color="auto" w:sz="12" w:space="0"/>
            </w:tcBorders>
            <w:vAlign w:val="center"/>
          </w:tcPr>
          <w:p w14:paraId="299ECC68">
            <w:pPr>
              <w:snapToGrid w:val="0"/>
              <w:spacing w:line="240" w:lineRule="exact"/>
              <w:ind w:leftChars="100"/>
              <w:rPr>
                <w:rFonts w:ascii="Times New Roman" w:hAnsi="Times New Roman" w:eastAsia="楷体_GB2312"/>
                <w:szCs w:val="21"/>
              </w:rPr>
            </w:pPr>
            <w:r>
              <w:rPr>
                <w:rFonts w:hint="eastAsia" w:ascii="Times New Roman" w:hAnsi="Times New Roman" w:eastAsia="楷体_GB2312"/>
                <w:szCs w:val="21"/>
              </w:rPr>
              <w:t>中国梯田撂荒演化理论创新与风险精准调控关键技术</w:t>
            </w:r>
          </w:p>
        </w:tc>
      </w:tr>
      <w:tr w14:paraId="3692EB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96" w:hRule="exact"/>
          <w:jc w:val="center"/>
        </w:trPr>
        <w:tc>
          <w:tcPr>
            <w:tcW w:w="1992" w:type="dxa"/>
            <w:gridSpan w:val="2"/>
            <w:tcBorders>
              <w:left w:val="single" w:color="auto" w:sz="12" w:space="0"/>
            </w:tcBorders>
            <w:vAlign w:val="center"/>
          </w:tcPr>
          <w:p w14:paraId="46B6B88D">
            <w:pPr>
              <w:snapToGrid w:val="0"/>
              <w:spacing w:line="360" w:lineRule="exact"/>
              <w:jc w:val="center"/>
              <w:rPr>
                <w:rFonts w:ascii="Times New Roman" w:hAnsi="Times New Roman"/>
                <w:szCs w:val="21"/>
              </w:rPr>
            </w:pPr>
            <w:r>
              <w:rPr>
                <w:rFonts w:ascii="Times New Roman" w:hAnsi="Times New Roman"/>
                <w:szCs w:val="21"/>
              </w:rPr>
              <w:t>主要完成人</w:t>
            </w:r>
          </w:p>
        </w:tc>
        <w:tc>
          <w:tcPr>
            <w:tcW w:w="7540" w:type="dxa"/>
            <w:gridSpan w:val="10"/>
            <w:tcBorders>
              <w:right w:val="single" w:color="auto" w:sz="12" w:space="0"/>
            </w:tcBorders>
            <w:vAlign w:val="center"/>
          </w:tcPr>
          <w:p w14:paraId="6AD2DDC6">
            <w:pPr>
              <w:snapToGrid w:val="0"/>
              <w:spacing w:line="240" w:lineRule="exact"/>
              <w:ind w:leftChars="100"/>
              <w:rPr>
                <w:rFonts w:ascii="Times New Roman" w:hAnsi="Times New Roman" w:eastAsia="楷体_GB2312"/>
                <w:szCs w:val="21"/>
              </w:rPr>
            </w:pPr>
            <w:r>
              <w:rPr>
                <w:rFonts w:hint="eastAsia" w:ascii="Times New Roman" w:hAnsi="Times New Roman" w:eastAsia="楷体_GB2312"/>
                <w:szCs w:val="21"/>
              </w:rPr>
              <w:t>李秀彬</w:t>
            </w:r>
            <w:r>
              <w:rPr>
                <w:rFonts w:hint="eastAsia" w:ascii="Times New Roman" w:hAnsi="Times New Roman" w:eastAsia="楷体_GB2312"/>
                <w:szCs w:val="21"/>
                <w:lang w:eastAsia="zh-CN"/>
              </w:rPr>
              <w:t>、</w:t>
            </w:r>
            <w:r>
              <w:rPr>
                <w:rFonts w:hint="eastAsia" w:ascii="Times New Roman" w:hAnsi="Times New Roman" w:eastAsia="楷体_GB2312"/>
                <w:szCs w:val="21"/>
              </w:rPr>
              <w:t>辛良杰</w:t>
            </w:r>
            <w:r>
              <w:rPr>
                <w:rFonts w:hint="eastAsia" w:ascii="Times New Roman" w:hAnsi="Times New Roman" w:eastAsia="楷体_GB2312"/>
                <w:szCs w:val="21"/>
                <w:lang w:eastAsia="zh-CN"/>
              </w:rPr>
              <w:t>、</w:t>
            </w:r>
            <w:r>
              <w:rPr>
                <w:rFonts w:hint="eastAsia" w:ascii="Times New Roman" w:hAnsi="Times New Roman" w:eastAsia="楷体_GB2312"/>
                <w:szCs w:val="21"/>
              </w:rPr>
              <w:t>王学</w:t>
            </w:r>
            <w:r>
              <w:rPr>
                <w:rFonts w:hint="eastAsia" w:ascii="Times New Roman" w:hAnsi="Times New Roman" w:eastAsia="楷体_GB2312"/>
                <w:szCs w:val="21"/>
                <w:lang w:eastAsia="zh-CN"/>
              </w:rPr>
              <w:t>、</w:t>
            </w:r>
            <w:r>
              <w:rPr>
                <w:rFonts w:hint="eastAsia" w:ascii="Times New Roman" w:hAnsi="Times New Roman" w:eastAsia="楷体_GB2312"/>
                <w:szCs w:val="21"/>
              </w:rPr>
              <w:t>谢花林</w:t>
            </w:r>
            <w:r>
              <w:rPr>
                <w:rFonts w:hint="eastAsia" w:ascii="Times New Roman" w:hAnsi="Times New Roman" w:eastAsia="楷体_GB2312"/>
                <w:szCs w:val="21"/>
                <w:lang w:eastAsia="zh-CN"/>
              </w:rPr>
              <w:t>、</w:t>
            </w:r>
            <w:r>
              <w:rPr>
                <w:rFonts w:hint="eastAsia" w:ascii="Times New Roman" w:hAnsi="Times New Roman" w:eastAsia="楷体_GB2312"/>
                <w:szCs w:val="21"/>
              </w:rPr>
              <w:t>宋恒飞</w:t>
            </w:r>
            <w:r>
              <w:rPr>
                <w:rFonts w:hint="eastAsia" w:ascii="Times New Roman" w:hAnsi="Times New Roman" w:eastAsia="楷体_GB2312"/>
                <w:szCs w:val="21"/>
                <w:lang w:eastAsia="zh-CN"/>
              </w:rPr>
              <w:t>、</w:t>
            </w:r>
            <w:r>
              <w:rPr>
                <w:rFonts w:hint="eastAsia" w:ascii="Times New Roman" w:hAnsi="Times New Roman" w:eastAsia="楷体_GB2312"/>
                <w:szCs w:val="21"/>
              </w:rPr>
              <w:t>李升发</w:t>
            </w:r>
            <w:r>
              <w:rPr>
                <w:rFonts w:hint="eastAsia" w:ascii="Times New Roman" w:hAnsi="Times New Roman" w:eastAsia="楷体_GB2312"/>
                <w:szCs w:val="21"/>
                <w:lang w:eastAsia="zh-CN"/>
              </w:rPr>
              <w:t>、</w:t>
            </w:r>
            <w:r>
              <w:rPr>
                <w:rFonts w:hint="eastAsia" w:ascii="Times New Roman" w:hAnsi="Times New Roman" w:eastAsia="楷体_GB2312"/>
                <w:szCs w:val="21"/>
              </w:rPr>
              <w:t>谈明洪</w:t>
            </w:r>
            <w:r>
              <w:rPr>
                <w:rFonts w:hint="eastAsia" w:ascii="Times New Roman" w:hAnsi="Times New Roman" w:eastAsia="楷体_GB2312"/>
                <w:szCs w:val="21"/>
                <w:lang w:eastAsia="zh-CN"/>
              </w:rPr>
              <w:t>、</w:t>
            </w:r>
            <w:r>
              <w:rPr>
                <w:rFonts w:hint="eastAsia" w:ascii="Times New Roman" w:hAnsi="Times New Roman" w:eastAsia="楷体_GB2312"/>
                <w:szCs w:val="21"/>
              </w:rPr>
              <w:t>王亚辉</w:t>
            </w:r>
            <w:r>
              <w:rPr>
                <w:rFonts w:hint="eastAsia" w:ascii="Times New Roman" w:hAnsi="Times New Roman" w:eastAsia="楷体_GB2312"/>
                <w:szCs w:val="21"/>
                <w:lang w:eastAsia="zh-CN"/>
              </w:rPr>
              <w:t>、</w:t>
            </w:r>
            <w:r>
              <w:rPr>
                <w:rFonts w:hint="eastAsia" w:ascii="Times New Roman" w:hAnsi="Times New Roman" w:eastAsia="楷体_GB2312"/>
                <w:szCs w:val="21"/>
              </w:rPr>
              <w:t>赵宇鸾</w:t>
            </w:r>
            <w:r>
              <w:rPr>
                <w:rFonts w:hint="eastAsia" w:ascii="Times New Roman" w:hAnsi="Times New Roman" w:eastAsia="楷体_GB2312"/>
                <w:szCs w:val="21"/>
                <w:lang w:eastAsia="zh-CN"/>
              </w:rPr>
              <w:t>、</w:t>
            </w:r>
            <w:r>
              <w:rPr>
                <w:rFonts w:hint="eastAsia" w:ascii="Times New Roman" w:hAnsi="Times New Roman" w:eastAsia="楷体_GB2312"/>
                <w:szCs w:val="21"/>
              </w:rPr>
              <w:t>刘晓宇</w:t>
            </w:r>
          </w:p>
        </w:tc>
      </w:tr>
      <w:tr w14:paraId="357CC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85" w:hRule="exact"/>
          <w:jc w:val="center"/>
        </w:trPr>
        <w:tc>
          <w:tcPr>
            <w:tcW w:w="1992" w:type="dxa"/>
            <w:gridSpan w:val="2"/>
            <w:tcBorders>
              <w:left w:val="single" w:color="auto" w:sz="12" w:space="0"/>
            </w:tcBorders>
            <w:vAlign w:val="center"/>
          </w:tcPr>
          <w:p w14:paraId="3D743AE0">
            <w:pPr>
              <w:snapToGrid w:val="0"/>
              <w:spacing w:line="320" w:lineRule="exact"/>
              <w:jc w:val="center"/>
              <w:rPr>
                <w:rFonts w:ascii="Times New Roman" w:hAnsi="Times New Roman"/>
                <w:szCs w:val="21"/>
              </w:rPr>
            </w:pPr>
            <w:r>
              <w:rPr>
                <w:rFonts w:ascii="Times New Roman" w:hAnsi="Times New Roman"/>
                <w:szCs w:val="21"/>
              </w:rPr>
              <w:t>主要完成单位</w:t>
            </w:r>
          </w:p>
        </w:tc>
        <w:tc>
          <w:tcPr>
            <w:tcW w:w="7540" w:type="dxa"/>
            <w:gridSpan w:val="10"/>
            <w:tcBorders>
              <w:right w:val="single" w:color="auto" w:sz="12" w:space="0"/>
            </w:tcBorders>
            <w:vAlign w:val="center"/>
          </w:tcPr>
          <w:p w14:paraId="242FF421">
            <w:pPr>
              <w:snapToGrid w:val="0"/>
              <w:spacing w:line="240" w:lineRule="exact"/>
              <w:ind w:leftChars="100"/>
              <w:rPr>
                <w:rFonts w:hint="eastAsia" w:ascii="Times New Roman" w:hAnsi="Times New Roman" w:eastAsia="楷体_GB2312"/>
                <w:szCs w:val="21"/>
                <w:lang w:eastAsia="zh-CN"/>
              </w:rPr>
            </w:pPr>
            <w:r>
              <w:rPr>
                <w:rFonts w:hint="eastAsia" w:ascii="Times New Roman" w:hAnsi="Times New Roman" w:eastAsia="楷体_GB2312"/>
                <w:szCs w:val="21"/>
                <w:lang w:eastAsia="zh-CN"/>
              </w:rPr>
              <w:t>中国科学院地理科学与资源研究所、江西财经大学、广东省科学院广州地理研究所、西南大学、贵州师范大学</w:t>
            </w:r>
          </w:p>
        </w:tc>
      </w:tr>
      <w:tr w14:paraId="0DEF55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27" w:hRule="atLeast"/>
          <w:jc w:val="center"/>
        </w:trPr>
        <w:tc>
          <w:tcPr>
            <w:tcW w:w="1992" w:type="dxa"/>
            <w:gridSpan w:val="2"/>
            <w:tcBorders>
              <w:left w:val="single" w:color="auto" w:sz="12" w:space="0"/>
            </w:tcBorders>
            <w:vAlign w:val="center"/>
          </w:tcPr>
          <w:p w14:paraId="66401EBB">
            <w:pPr>
              <w:snapToGrid w:val="0"/>
              <w:spacing w:line="360" w:lineRule="exact"/>
              <w:jc w:val="center"/>
              <w:rPr>
                <w:rFonts w:ascii="Times New Roman" w:hAnsi="Times New Roman"/>
                <w:szCs w:val="21"/>
              </w:rPr>
            </w:pPr>
            <w:r>
              <w:rPr>
                <w:rFonts w:ascii="Times New Roman" w:hAnsi="Times New Roman"/>
                <w:szCs w:val="21"/>
              </w:rPr>
              <w:t>推荐单位</w:t>
            </w:r>
          </w:p>
          <w:p w14:paraId="44E7C878">
            <w:pPr>
              <w:snapToGrid w:val="0"/>
              <w:spacing w:line="360" w:lineRule="exact"/>
              <w:jc w:val="center"/>
              <w:rPr>
                <w:rFonts w:ascii="Times New Roman" w:hAnsi="Times New Roman"/>
                <w:szCs w:val="21"/>
              </w:rPr>
            </w:pPr>
            <w:r>
              <w:rPr>
                <w:rFonts w:ascii="Times New Roman" w:hAnsi="Times New Roman"/>
                <w:szCs w:val="21"/>
              </w:rPr>
              <w:t>（盖章）</w:t>
            </w:r>
          </w:p>
        </w:tc>
        <w:tc>
          <w:tcPr>
            <w:tcW w:w="7540" w:type="dxa"/>
            <w:gridSpan w:val="10"/>
            <w:tcBorders>
              <w:right w:val="single" w:color="auto" w:sz="12" w:space="0"/>
            </w:tcBorders>
            <w:vAlign w:val="center"/>
          </w:tcPr>
          <w:p w14:paraId="0B0289F3">
            <w:pPr>
              <w:snapToGrid w:val="0"/>
              <w:spacing w:before="62" w:beforeLines="20" w:line="240" w:lineRule="exact"/>
              <w:jc w:val="center"/>
              <w:rPr>
                <w:rFonts w:ascii="Times New Roman" w:hAnsi="Times New Roman" w:eastAsia="楷体_GB2312"/>
                <w:szCs w:val="21"/>
              </w:rPr>
            </w:pPr>
            <w:r>
              <w:rPr>
                <w:rFonts w:ascii="Times New Roman" w:hAnsi="Times New Roman" w:eastAsia="楷体_GB2312"/>
                <w:szCs w:val="21"/>
              </w:rPr>
              <w:t xml:space="preserve"> </w:t>
            </w:r>
          </w:p>
          <w:p w14:paraId="7B72E765">
            <w:pPr>
              <w:snapToGrid w:val="0"/>
              <w:spacing w:line="320" w:lineRule="exact"/>
              <w:jc w:val="center"/>
              <w:rPr>
                <w:rFonts w:ascii="Times New Roman" w:hAnsi="Times New Roman"/>
                <w:szCs w:val="21"/>
              </w:rPr>
            </w:pPr>
          </w:p>
          <w:p w14:paraId="02240FC5">
            <w:pPr>
              <w:snapToGrid w:val="0"/>
              <w:spacing w:line="240" w:lineRule="exact"/>
              <w:ind w:firstLine="210" w:firstLineChars="100"/>
              <w:rPr>
                <w:rFonts w:hint="eastAsia" w:ascii="Times New Roman" w:hAnsi="Times New Roman" w:eastAsia="楷体_GB2312"/>
                <w:szCs w:val="21"/>
                <w:lang w:eastAsia="zh-CN"/>
              </w:rPr>
            </w:pPr>
            <w:r>
              <w:rPr>
                <w:rFonts w:hint="eastAsia" w:ascii="Times New Roman" w:hAnsi="Times New Roman" w:eastAsia="楷体_GB2312"/>
                <w:szCs w:val="21"/>
                <w:lang w:eastAsia="zh-CN"/>
              </w:rPr>
              <w:t>中国自然资源学会土地资源研究专业委员会</w:t>
            </w:r>
          </w:p>
          <w:p w14:paraId="3C7DB8A1">
            <w:pPr>
              <w:snapToGrid w:val="0"/>
              <w:spacing w:before="62" w:beforeLines="20" w:line="320" w:lineRule="exact"/>
              <w:jc w:val="center"/>
              <w:rPr>
                <w:rFonts w:ascii="Times New Roman" w:hAnsi="Times New Roman"/>
                <w:szCs w:val="21"/>
              </w:rPr>
            </w:pPr>
          </w:p>
          <w:p w14:paraId="3E20DDF2">
            <w:pPr>
              <w:snapToGrid w:val="0"/>
              <w:spacing w:line="240" w:lineRule="exact"/>
              <w:rPr>
                <w:rFonts w:ascii="Times New Roman" w:hAnsi="Times New Roman" w:eastAsia="楷体_GB2312"/>
                <w:szCs w:val="21"/>
              </w:rPr>
            </w:pPr>
          </w:p>
        </w:tc>
      </w:tr>
      <w:tr w14:paraId="41656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25" w:hRule="atLeast"/>
          <w:jc w:val="center"/>
        </w:trPr>
        <w:tc>
          <w:tcPr>
            <w:tcW w:w="1565" w:type="dxa"/>
            <w:vMerge w:val="restart"/>
            <w:tcBorders>
              <w:left w:val="single" w:color="auto" w:sz="12" w:space="0"/>
              <w:right w:val="single" w:color="auto" w:sz="6" w:space="0"/>
            </w:tcBorders>
            <w:vAlign w:val="center"/>
          </w:tcPr>
          <w:p w14:paraId="31A24A2E">
            <w:pPr>
              <w:snapToGrid w:val="0"/>
              <w:spacing w:line="360" w:lineRule="exact"/>
              <w:jc w:val="center"/>
              <w:rPr>
                <w:rFonts w:ascii="Times New Roman" w:hAnsi="Times New Roman"/>
                <w:szCs w:val="21"/>
              </w:rPr>
            </w:pPr>
            <w:r>
              <w:rPr>
                <w:rFonts w:ascii="Times New Roman" w:hAnsi="Times New Roman"/>
                <w:szCs w:val="21"/>
              </w:rPr>
              <w:t>学科分类</w:t>
            </w:r>
          </w:p>
          <w:p w14:paraId="3A04831B">
            <w:pPr>
              <w:snapToGrid w:val="0"/>
              <w:spacing w:line="360" w:lineRule="exact"/>
              <w:jc w:val="center"/>
              <w:rPr>
                <w:rFonts w:ascii="Times New Roman" w:hAnsi="Times New Roman"/>
                <w:szCs w:val="21"/>
              </w:rPr>
            </w:pPr>
            <w:r>
              <w:rPr>
                <w:rFonts w:ascii="Times New Roman" w:hAnsi="Times New Roman"/>
                <w:szCs w:val="21"/>
              </w:rPr>
              <w:t>名称</w:t>
            </w:r>
          </w:p>
        </w:tc>
        <w:tc>
          <w:tcPr>
            <w:tcW w:w="427" w:type="dxa"/>
            <w:tcBorders>
              <w:left w:val="single" w:color="auto" w:sz="6" w:space="0"/>
              <w:bottom w:val="single" w:color="auto" w:sz="6" w:space="0"/>
            </w:tcBorders>
            <w:vAlign w:val="center"/>
          </w:tcPr>
          <w:p w14:paraId="5A2665B8">
            <w:pPr>
              <w:snapToGrid w:val="0"/>
              <w:spacing w:line="360" w:lineRule="exact"/>
              <w:jc w:val="center"/>
              <w:rPr>
                <w:rFonts w:ascii="Times New Roman" w:hAnsi="Times New Roman"/>
                <w:szCs w:val="21"/>
              </w:rPr>
            </w:pPr>
            <w:r>
              <w:rPr>
                <w:rFonts w:ascii="Times New Roman" w:hAnsi="Times New Roman"/>
                <w:szCs w:val="21"/>
              </w:rPr>
              <w:t>1</w:t>
            </w:r>
          </w:p>
        </w:tc>
        <w:tc>
          <w:tcPr>
            <w:tcW w:w="4936" w:type="dxa"/>
            <w:gridSpan w:val="6"/>
            <w:tcBorders>
              <w:bottom w:val="single" w:color="auto" w:sz="6" w:space="0"/>
            </w:tcBorders>
            <w:vAlign w:val="center"/>
          </w:tcPr>
          <w:p w14:paraId="0E19258E">
            <w:pPr>
              <w:snapToGrid w:val="0"/>
              <w:spacing w:line="220" w:lineRule="exact"/>
              <w:rPr>
                <w:rFonts w:hint="default" w:ascii="Times New Roman" w:hAnsi="Times New Roman" w:eastAsia="楷体_GB2312"/>
                <w:szCs w:val="21"/>
                <w:lang w:val="en-US" w:eastAsia="zh-CN"/>
              </w:rPr>
            </w:pPr>
            <w:r>
              <w:rPr>
                <w:rFonts w:hint="eastAsia" w:ascii="Times New Roman" w:hAnsi="Times New Roman" w:eastAsia="楷体_GB2312"/>
                <w:szCs w:val="21"/>
                <w:lang w:val="en-US" w:eastAsia="zh-CN"/>
              </w:rPr>
              <w:t>64010H土地资源学</w:t>
            </w:r>
          </w:p>
        </w:tc>
        <w:tc>
          <w:tcPr>
            <w:tcW w:w="940" w:type="dxa"/>
            <w:gridSpan w:val="3"/>
            <w:tcBorders>
              <w:bottom w:val="single" w:color="auto" w:sz="6" w:space="0"/>
            </w:tcBorders>
            <w:vAlign w:val="center"/>
          </w:tcPr>
          <w:p w14:paraId="75C266AA">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bottom w:val="single" w:color="auto" w:sz="6" w:space="0"/>
              <w:right w:val="single" w:color="auto" w:sz="12" w:space="0"/>
            </w:tcBorders>
            <w:vAlign w:val="center"/>
          </w:tcPr>
          <w:p w14:paraId="3DE97CCC">
            <w:pPr>
              <w:spacing w:line="240" w:lineRule="exact"/>
              <w:rPr>
                <w:rFonts w:hint="default" w:ascii="Times New Roman" w:hAnsi="Times New Roman" w:eastAsia="楷体_GB2312"/>
                <w:bCs/>
                <w:szCs w:val="21"/>
                <w:lang w:val="en-US" w:eastAsia="zh-CN"/>
              </w:rPr>
            </w:pPr>
          </w:p>
        </w:tc>
      </w:tr>
      <w:tr w14:paraId="29636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25" w:hRule="atLeast"/>
          <w:jc w:val="center"/>
        </w:trPr>
        <w:tc>
          <w:tcPr>
            <w:tcW w:w="1565" w:type="dxa"/>
            <w:vMerge w:val="continue"/>
            <w:tcBorders>
              <w:left w:val="single" w:color="auto" w:sz="12" w:space="0"/>
              <w:right w:val="single" w:color="auto" w:sz="6" w:space="0"/>
            </w:tcBorders>
            <w:vAlign w:val="center"/>
          </w:tcPr>
          <w:p w14:paraId="6B25090D">
            <w:pPr>
              <w:snapToGrid w:val="0"/>
              <w:spacing w:before="62" w:beforeLines="20" w:line="300" w:lineRule="auto"/>
              <w:rPr>
                <w:rFonts w:ascii="Times New Roman" w:hAnsi="Times New Roman"/>
                <w:szCs w:val="21"/>
              </w:rPr>
            </w:pPr>
          </w:p>
        </w:tc>
        <w:tc>
          <w:tcPr>
            <w:tcW w:w="427" w:type="dxa"/>
            <w:tcBorders>
              <w:top w:val="single" w:color="auto" w:sz="6" w:space="0"/>
              <w:left w:val="single" w:color="auto" w:sz="6" w:space="0"/>
              <w:bottom w:val="single" w:color="auto" w:sz="6" w:space="0"/>
            </w:tcBorders>
            <w:vAlign w:val="center"/>
          </w:tcPr>
          <w:p w14:paraId="06D938FA">
            <w:pPr>
              <w:snapToGrid w:val="0"/>
              <w:spacing w:line="360" w:lineRule="exact"/>
              <w:jc w:val="center"/>
              <w:rPr>
                <w:rFonts w:ascii="Times New Roman" w:hAnsi="Times New Roman"/>
                <w:szCs w:val="21"/>
              </w:rPr>
            </w:pPr>
            <w:r>
              <w:rPr>
                <w:rFonts w:ascii="Times New Roman" w:hAnsi="Times New Roman"/>
                <w:szCs w:val="21"/>
              </w:rPr>
              <w:t>2</w:t>
            </w:r>
          </w:p>
        </w:tc>
        <w:tc>
          <w:tcPr>
            <w:tcW w:w="4936" w:type="dxa"/>
            <w:gridSpan w:val="6"/>
            <w:tcBorders>
              <w:top w:val="single" w:color="auto" w:sz="6" w:space="0"/>
              <w:bottom w:val="single" w:color="auto" w:sz="6" w:space="0"/>
            </w:tcBorders>
            <w:vAlign w:val="center"/>
          </w:tcPr>
          <w:p w14:paraId="566B8F08">
            <w:pPr>
              <w:snapToGrid w:val="0"/>
              <w:spacing w:line="220" w:lineRule="exact"/>
              <w:rPr>
                <w:rFonts w:hint="default" w:ascii="Times New Roman" w:hAnsi="Times New Roman" w:eastAsia="楷体_GB2312"/>
                <w:szCs w:val="21"/>
                <w:lang w:val="en-US" w:eastAsia="zh-CN"/>
              </w:rPr>
            </w:pPr>
            <w:r>
              <w:rPr>
                <w:rFonts w:hint="eastAsia" w:ascii="Times New Roman" w:hAnsi="Times New Roman" w:eastAsia="楷体_GB2312"/>
                <w:szCs w:val="21"/>
                <w:lang w:val="en-US" w:eastAsia="zh-CN"/>
              </w:rPr>
              <w:t>64020H土地调查与监测技术</w:t>
            </w:r>
          </w:p>
        </w:tc>
        <w:tc>
          <w:tcPr>
            <w:tcW w:w="940" w:type="dxa"/>
            <w:gridSpan w:val="3"/>
            <w:tcBorders>
              <w:top w:val="single" w:color="auto" w:sz="6" w:space="0"/>
              <w:bottom w:val="single" w:color="auto" w:sz="6" w:space="0"/>
            </w:tcBorders>
            <w:vAlign w:val="center"/>
          </w:tcPr>
          <w:p w14:paraId="775B194B">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color="auto" w:sz="6" w:space="0"/>
              <w:bottom w:val="single" w:color="auto" w:sz="6" w:space="0"/>
              <w:right w:val="single" w:color="auto" w:sz="12" w:space="0"/>
            </w:tcBorders>
            <w:vAlign w:val="center"/>
          </w:tcPr>
          <w:p w14:paraId="7CE647F4">
            <w:pPr>
              <w:spacing w:line="240" w:lineRule="exact"/>
              <w:rPr>
                <w:rFonts w:hint="default" w:ascii="Times New Roman" w:hAnsi="Times New Roman" w:eastAsia="楷体_GB2312"/>
                <w:bCs/>
                <w:szCs w:val="21"/>
                <w:lang w:val="en-US" w:eastAsia="zh-CN"/>
              </w:rPr>
            </w:pPr>
          </w:p>
        </w:tc>
      </w:tr>
      <w:tr w14:paraId="07AED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25" w:hRule="atLeast"/>
          <w:jc w:val="center"/>
        </w:trPr>
        <w:tc>
          <w:tcPr>
            <w:tcW w:w="1565" w:type="dxa"/>
            <w:vMerge w:val="continue"/>
            <w:tcBorders>
              <w:left w:val="single" w:color="auto" w:sz="12" w:space="0"/>
              <w:right w:val="single" w:color="auto" w:sz="6" w:space="0"/>
            </w:tcBorders>
            <w:vAlign w:val="center"/>
          </w:tcPr>
          <w:p w14:paraId="65D8276B">
            <w:pPr>
              <w:snapToGrid w:val="0"/>
              <w:spacing w:before="62" w:beforeLines="20" w:line="300" w:lineRule="auto"/>
              <w:rPr>
                <w:rFonts w:ascii="Times New Roman" w:hAnsi="Times New Roman"/>
                <w:szCs w:val="21"/>
              </w:rPr>
            </w:pPr>
          </w:p>
        </w:tc>
        <w:tc>
          <w:tcPr>
            <w:tcW w:w="427" w:type="dxa"/>
            <w:tcBorders>
              <w:top w:val="single" w:color="auto" w:sz="6" w:space="0"/>
              <w:left w:val="single" w:color="auto" w:sz="6" w:space="0"/>
            </w:tcBorders>
            <w:vAlign w:val="center"/>
          </w:tcPr>
          <w:p w14:paraId="306D1D39">
            <w:pPr>
              <w:snapToGrid w:val="0"/>
              <w:spacing w:line="360" w:lineRule="exact"/>
              <w:jc w:val="center"/>
              <w:rPr>
                <w:rFonts w:ascii="Times New Roman" w:hAnsi="Times New Roman"/>
                <w:szCs w:val="21"/>
              </w:rPr>
            </w:pPr>
            <w:r>
              <w:rPr>
                <w:rFonts w:ascii="Times New Roman" w:hAnsi="Times New Roman"/>
                <w:szCs w:val="21"/>
              </w:rPr>
              <w:t>3</w:t>
            </w:r>
          </w:p>
        </w:tc>
        <w:tc>
          <w:tcPr>
            <w:tcW w:w="4936" w:type="dxa"/>
            <w:gridSpan w:val="6"/>
            <w:tcBorders>
              <w:top w:val="single" w:color="auto" w:sz="6" w:space="0"/>
            </w:tcBorders>
            <w:vAlign w:val="center"/>
          </w:tcPr>
          <w:p w14:paraId="6506D604">
            <w:pPr>
              <w:snapToGrid w:val="0"/>
              <w:spacing w:line="220" w:lineRule="exact"/>
              <w:rPr>
                <w:rFonts w:ascii="Times New Roman" w:hAnsi="Times New Roman" w:eastAsia="楷体_GB2312"/>
                <w:szCs w:val="21"/>
              </w:rPr>
            </w:pPr>
            <w:r>
              <w:rPr>
                <w:rFonts w:ascii="Times New Roman" w:hAnsi="Times New Roman" w:eastAsia="楷体_GB2312"/>
                <w:szCs w:val="21"/>
              </w:rPr>
              <w:t xml:space="preserve"> </w:t>
            </w:r>
            <w:r>
              <w:rPr>
                <w:rFonts w:hint="eastAsia" w:ascii="Times New Roman" w:hAnsi="Times New Roman" w:eastAsia="楷体_GB2312"/>
                <w:szCs w:val="21"/>
              </w:rPr>
              <w:t>7905930土地经济学</w:t>
            </w:r>
          </w:p>
        </w:tc>
        <w:tc>
          <w:tcPr>
            <w:tcW w:w="940" w:type="dxa"/>
            <w:gridSpan w:val="3"/>
            <w:tcBorders>
              <w:top w:val="single" w:color="auto" w:sz="6" w:space="0"/>
            </w:tcBorders>
            <w:vAlign w:val="center"/>
          </w:tcPr>
          <w:p w14:paraId="524D4E24">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color="auto" w:sz="6" w:space="0"/>
              <w:right w:val="single" w:color="auto" w:sz="12" w:space="0"/>
            </w:tcBorders>
            <w:vAlign w:val="center"/>
          </w:tcPr>
          <w:p w14:paraId="7ABB8A20">
            <w:pPr>
              <w:spacing w:line="240" w:lineRule="exact"/>
              <w:rPr>
                <w:rFonts w:ascii="Times New Roman" w:hAnsi="Times New Roman" w:eastAsia="楷体_GB2312"/>
                <w:bCs/>
                <w:szCs w:val="21"/>
              </w:rPr>
            </w:pPr>
            <w:r>
              <w:rPr>
                <w:rFonts w:ascii="Times New Roman" w:hAnsi="Times New Roman" w:eastAsia="楷体_GB2312"/>
                <w:bCs/>
                <w:szCs w:val="21"/>
              </w:rPr>
              <w:t xml:space="preserve"> </w:t>
            </w:r>
          </w:p>
        </w:tc>
      </w:tr>
      <w:tr w14:paraId="09571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25" w:hRule="atLeast"/>
          <w:jc w:val="center"/>
        </w:trPr>
        <w:tc>
          <w:tcPr>
            <w:tcW w:w="1992" w:type="dxa"/>
            <w:gridSpan w:val="2"/>
            <w:tcBorders>
              <w:left w:val="single" w:color="auto" w:sz="12" w:space="0"/>
              <w:bottom w:val="single" w:color="auto" w:sz="4" w:space="0"/>
            </w:tcBorders>
            <w:vAlign w:val="center"/>
          </w:tcPr>
          <w:p w14:paraId="5AC76847">
            <w:pPr>
              <w:snapToGrid w:val="0"/>
              <w:spacing w:line="360" w:lineRule="exact"/>
              <w:jc w:val="center"/>
              <w:rPr>
                <w:rFonts w:ascii="Times New Roman" w:hAnsi="Times New Roman"/>
                <w:szCs w:val="21"/>
              </w:rPr>
            </w:pPr>
            <w:r>
              <w:rPr>
                <w:rFonts w:ascii="Times New Roman" w:hAnsi="Times New Roman"/>
                <w:szCs w:val="21"/>
              </w:rPr>
              <w:t>所属国民经济行业</w:t>
            </w:r>
          </w:p>
        </w:tc>
        <w:tc>
          <w:tcPr>
            <w:tcW w:w="7540" w:type="dxa"/>
            <w:gridSpan w:val="10"/>
            <w:tcBorders>
              <w:bottom w:val="single" w:color="auto" w:sz="4" w:space="0"/>
              <w:right w:val="single" w:color="auto" w:sz="12" w:space="0"/>
            </w:tcBorders>
            <w:vAlign w:val="center"/>
          </w:tcPr>
          <w:p w14:paraId="2EF85EBC">
            <w:pPr>
              <w:snapToGrid w:val="0"/>
              <w:spacing w:line="240" w:lineRule="exact"/>
              <w:rPr>
                <w:rFonts w:hint="eastAsia" w:ascii="Times New Roman" w:hAnsi="Times New Roman" w:eastAsia="楷体_GB2312"/>
                <w:szCs w:val="21"/>
                <w:lang w:eastAsia="zh-CN"/>
              </w:rPr>
            </w:pPr>
            <w:r>
              <w:rPr>
                <w:rFonts w:hint="eastAsia" w:ascii="Times New Roman" w:hAnsi="Times New Roman" w:eastAsia="楷体_GB2312"/>
                <w:szCs w:val="21"/>
                <w:lang w:eastAsia="zh-CN"/>
              </w:rPr>
              <w:t>科学研究、技术服务和地质勘查业</w:t>
            </w:r>
          </w:p>
        </w:tc>
      </w:tr>
      <w:tr w14:paraId="3EC32A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40" w:hRule="atLeast"/>
          <w:jc w:val="center"/>
        </w:trPr>
        <w:tc>
          <w:tcPr>
            <w:tcW w:w="1992" w:type="dxa"/>
            <w:gridSpan w:val="2"/>
            <w:tcBorders>
              <w:left w:val="single" w:color="auto" w:sz="12" w:space="0"/>
              <w:bottom w:val="single" w:color="auto" w:sz="4" w:space="0"/>
            </w:tcBorders>
            <w:vAlign w:val="center"/>
          </w:tcPr>
          <w:p w14:paraId="6E2E6470">
            <w:pPr>
              <w:snapToGrid w:val="0"/>
              <w:spacing w:line="360" w:lineRule="exact"/>
              <w:jc w:val="center"/>
              <w:rPr>
                <w:rFonts w:ascii="Times New Roman" w:hAnsi="Times New Roman"/>
                <w:szCs w:val="21"/>
              </w:rPr>
            </w:pPr>
            <w:r>
              <w:rPr>
                <w:rFonts w:ascii="Times New Roman" w:hAnsi="Times New Roman"/>
                <w:szCs w:val="21"/>
              </w:rPr>
              <w:t>任 务 来 源</w:t>
            </w:r>
          </w:p>
        </w:tc>
        <w:tc>
          <w:tcPr>
            <w:tcW w:w="7540" w:type="dxa"/>
            <w:gridSpan w:val="10"/>
            <w:tcBorders>
              <w:bottom w:val="single" w:color="auto" w:sz="4" w:space="0"/>
              <w:right w:val="single" w:color="auto" w:sz="12" w:space="0"/>
            </w:tcBorders>
            <w:vAlign w:val="center"/>
          </w:tcPr>
          <w:p w14:paraId="04D01BB2">
            <w:pPr>
              <w:snapToGrid w:val="0"/>
              <w:spacing w:line="240" w:lineRule="exact"/>
              <w:rPr>
                <w:rFonts w:hint="default" w:ascii="Times New Roman" w:hAnsi="Times New Roman" w:eastAsia="楷体_GB2312"/>
                <w:szCs w:val="21"/>
                <w:lang w:val="en-US" w:eastAsia="zh-CN"/>
              </w:rPr>
            </w:pPr>
            <w:r>
              <w:rPr>
                <w:rFonts w:hint="eastAsia" w:ascii="Times New Roman" w:hAnsi="Times New Roman" w:eastAsia="楷体_GB2312"/>
                <w:szCs w:val="21"/>
                <w:lang w:val="en-US" w:eastAsia="zh-CN"/>
              </w:rPr>
              <w:t>D1 国家自然科学基金</w:t>
            </w:r>
          </w:p>
        </w:tc>
      </w:tr>
      <w:tr w14:paraId="3E3D52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23" w:hRule="exact"/>
          <w:jc w:val="center"/>
        </w:trPr>
        <w:tc>
          <w:tcPr>
            <w:tcW w:w="9532" w:type="dxa"/>
            <w:gridSpan w:val="12"/>
            <w:tcBorders>
              <w:top w:val="single" w:color="auto" w:sz="4" w:space="0"/>
              <w:left w:val="single" w:color="auto" w:sz="12" w:space="0"/>
              <w:bottom w:val="nil"/>
              <w:right w:val="single" w:color="auto" w:sz="12" w:space="0"/>
            </w:tcBorders>
          </w:tcPr>
          <w:p w14:paraId="6047D182">
            <w:pPr>
              <w:snapToGrid w:val="0"/>
              <w:spacing w:before="62" w:beforeLines="20" w:line="240" w:lineRule="exact"/>
              <w:rPr>
                <w:rFonts w:ascii="Times New Roman" w:hAnsi="Times New Roman" w:eastAsia="黑体"/>
                <w:szCs w:val="21"/>
              </w:rPr>
            </w:pPr>
            <w:r>
              <w:rPr>
                <w:rFonts w:ascii="Times New Roman" w:hAnsi="Times New Roman"/>
                <w:szCs w:val="21"/>
              </w:rPr>
              <w:t>具体计划、基金名称、项目名称和编号：（限300字）</w:t>
            </w:r>
          </w:p>
        </w:tc>
      </w:tr>
      <w:tr w14:paraId="052D5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01" w:hRule="exact"/>
          <w:jc w:val="center"/>
        </w:trPr>
        <w:tc>
          <w:tcPr>
            <w:tcW w:w="9532" w:type="dxa"/>
            <w:gridSpan w:val="12"/>
            <w:tcBorders>
              <w:top w:val="nil"/>
              <w:left w:val="single" w:color="auto" w:sz="12" w:space="0"/>
              <w:bottom w:val="single" w:color="auto" w:sz="2" w:space="0"/>
              <w:right w:val="single" w:color="auto" w:sz="12" w:space="0"/>
            </w:tcBorders>
          </w:tcPr>
          <w:p w14:paraId="519A7B23">
            <w:pPr>
              <w:snapToGrid w:val="0"/>
              <w:spacing w:line="280" w:lineRule="exact"/>
              <w:ind w:leftChars="100"/>
              <w:rPr>
                <w:rFonts w:ascii="Times New Roman" w:hAnsi="Times New Roman" w:eastAsia="楷体_GB2312"/>
                <w:szCs w:val="21"/>
              </w:rPr>
            </w:pPr>
            <w:r>
              <w:rPr>
                <w:rFonts w:ascii="Times New Roman" w:hAnsi="Times New Roman" w:eastAsia="楷体_GB2312"/>
                <w:szCs w:val="21"/>
              </w:rPr>
              <w:t xml:space="preserve"> </w:t>
            </w:r>
          </w:p>
          <w:p w14:paraId="2E72CCF3">
            <w:pPr>
              <w:snapToGrid w:val="0"/>
              <w:spacing w:line="280" w:lineRule="exact"/>
              <w:ind w:leftChars="100"/>
              <w:rPr>
                <w:rFonts w:hint="eastAsia" w:ascii="Times New Roman" w:hAnsi="Times New Roman" w:eastAsia="楷体_GB2312"/>
                <w:szCs w:val="21"/>
                <w:lang w:eastAsia="zh-CN"/>
              </w:rPr>
            </w:pPr>
            <w:r>
              <w:rPr>
                <w:rFonts w:hint="eastAsia" w:ascii="Times New Roman" w:hAnsi="Times New Roman" w:eastAsia="楷体_GB2312"/>
                <w:szCs w:val="21"/>
                <w:lang w:val="en-US" w:eastAsia="zh-CN"/>
              </w:rPr>
              <w:t>1.</w:t>
            </w:r>
            <w:r>
              <w:rPr>
                <w:rFonts w:hint="eastAsia" w:ascii="Times New Roman" w:hAnsi="Times New Roman" w:eastAsia="楷体_GB2312"/>
                <w:szCs w:val="21"/>
              </w:rPr>
              <w:t>国家自然科学基金重点项目，梯田撂荒过程及其造成的地力资本损失</w:t>
            </w:r>
            <w:r>
              <w:rPr>
                <w:rFonts w:hint="eastAsia" w:ascii="Times New Roman" w:hAnsi="Times New Roman" w:eastAsia="楷体_GB2312"/>
                <w:szCs w:val="21"/>
                <w:lang w:eastAsia="zh-CN"/>
              </w:rPr>
              <w:t>，</w:t>
            </w:r>
            <w:r>
              <w:rPr>
                <w:rFonts w:hint="eastAsia" w:ascii="Times New Roman" w:hAnsi="Times New Roman" w:eastAsia="楷体_GB2312"/>
                <w:szCs w:val="21"/>
              </w:rPr>
              <w:t>41930757</w:t>
            </w:r>
            <w:r>
              <w:rPr>
                <w:rFonts w:hint="eastAsia" w:ascii="Times New Roman" w:hAnsi="Times New Roman" w:eastAsia="楷体_GB2312"/>
                <w:szCs w:val="21"/>
                <w:lang w:eastAsia="zh-CN"/>
              </w:rPr>
              <w:t>；</w:t>
            </w:r>
          </w:p>
          <w:p w14:paraId="0A29A702">
            <w:pPr>
              <w:snapToGrid w:val="0"/>
              <w:spacing w:line="280" w:lineRule="exact"/>
              <w:ind w:leftChars="100"/>
              <w:rPr>
                <w:rFonts w:hint="eastAsia" w:ascii="Times New Roman" w:hAnsi="Times New Roman" w:eastAsia="楷体_GB2312"/>
                <w:szCs w:val="21"/>
                <w:lang w:eastAsia="zh-CN"/>
              </w:rPr>
            </w:pPr>
            <w:r>
              <w:rPr>
                <w:rFonts w:hint="eastAsia" w:ascii="Times New Roman" w:hAnsi="Times New Roman" w:eastAsia="楷体_GB2312"/>
                <w:szCs w:val="21"/>
                <w:lang w:val="en-US" w:eastAsia="zh-CN"/>
              </w:rPr>
              <w:t>2.国家自然科学基金</w:t>
            </w:r>
            <w:r>
              <w:rPr>
                <w:rFonts w:hint="eastAsia" w:ascii="Times New Roman" w:hAnsi="Times New Roman" w:eastAsia="楷体_GB2312"/>
                <w:szCs w:val="21"/>
              </w:rPr>
              <w:t>国际（地区）合作</w:t>
            </w:r>
            <w:r>
              <w:rPr>
                <w:rFonts w:hint="eastAsia" w:ascii="Times New Roman" w:hAnsi="Times New Roman" w:eastAsia="楷体_GB2312"/>
                <w:szCs w:val="21"/>
                <w:lang w:eastAsia="zh-CN"/>
              </w:rPr>
              <w:t>与</w:t>
            </w:r>
            <w:r>
              <w:rPr>
                <w:rFonts w:hint="eastAsia" w:ascii="Times New Roman" w:hAnsi="Times New Roman" w:eastAsia="楷体_GB2312"/>
                <w:szCs w:val="21"/>
              </w:rPr>
              <w:t>交流项目，城市化对山区土地利用及生态压力的影响</w:t>
            </w:r>
            <w:r>
              <w:rPr>
                <w:rFonts w:hint="eastAsia" w:ascii="Times New Roman" w:hAnsi="Times New Roman" w:eastAsia="楷体_GB2312"/>
                <w:szCs w:val="21"/>
                <w:lang w:eastAsia="zh-CN"/>
              </w:rPr>
              <w:t>——以重庆统筹城乡改革试验区为例，</w:t>
            </w:r>
            <w:r>
              <w:rPr>
                <w:rFonts w:hint="eastAsia" w:ascii="Times New Roman" w:hAnsi="Times New Roman" w:eastAsia="楷体_GB2312"/>
                <w:szCs w:val="21"/>
              </w:rPr>
              <w:t>41161140352</w:t>
            </w:r>
            <w:r>
              <w:rPr>
                <w:rFonts w:hint="eastAsia" w:ascii="Times New Roman" w:hAnsi="Times New Roman" w:eastAsia="楷体_GB2312"/>
                <w:szCs w:val="21"/>
                <w:lang w:eastAsia="zh-CN"/>
              </w:rPr>
              <w:t>。</w:t>
            </w:r>
          </w:p>
          <w:p w14:paraId="226E3470">
            <w:pPr>
              <w:snapToGrid w:val="0"/>
              <w:spacing w:line="280" w:lineRule="exact"/>
              <w:rPr>
                <w:rFonts w:hint="eastAsia" w:ascii="Times New Roman" w:hAnsi="Times New Roman" w:eastAsia="楷体_GB2312"/>
                <w:szCs w:val="21"/>
              </w:rPr>
            </w:pPr>
          </w:p>
        </w:tc>
      </w:tr>
      <w:tr w14:paraId="69CAD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0" w:hRule="exact"/>
          <w:jc w:val="center"/>
        </w:trPr>
        <w:tc>
          <w:tcPr>
            <w:tcW w:w="2330" w:type="dxa"/>
            <w:gridSpan w:val="3"/>
            <w:tcBorders>
              <w:top w:val="single" w:color="auto" w:sz="4" w:space="0"/>
              <w:left w:val="single" w:color="auto" w:sz="12" w:space="0"/>
              <w:bottom w:val="single" w:color="auto" w:sz="6" w:space="0"/>
              <w:right w:val="single" w:color="auto" w:sz="4" w:space="0"/>
            </w:tcBorders>
            <w:vAlign w:val="center"/>
          </w:tcPr>
          <w:p w14:paraId="3806D97F">
            <w:pPr>
              <w:snapToGrid w:val="0"/>
              <w:spacing w:line="280" w:lineRule="exact"/>
              <w:jc w:val="center"/>
              <w:rPr>
                <w:rFonts w:ascii="Times New Roman" w:hAnsi="Times New Roman" w:eastAsia="楷体_GB2312"/>
                <w:szCs w:val="21"/>
              </w:rPr>
            </w:pPr>
            <w:r>
              <w:rPr>
                <w:rFonts w:ascii="Times New Roman" w:hAnsi="Times New Roman"/>
              </w:rPr>
              <w:t>授权发明专利（项）</w:t>
            </w:r>
          </w:p>
        </w:tc>
        <w:tc>
          <w:tcPr>
            <w:tcW w:w="2783" w:type="dxa"/>
            <w:gridSpan w:val="2"/>
            <w:tcBorders>
              <w:top w:val="single" w:color="auto" w:sz="4" w:space="0"/>
              <w:left w:val="single" w:color="auto" w:sz="4" w:space="0"/>
              <w:bottom w:val="single" w:color="auto" w:sz="6" w:space="0"/>
              <w:right w:val="single" w:color="auto" w:sz="4" w:space="0"/>
            </w:tcBorders>
            <w:vAlign w:val="center"/>
          </w:tcPr>
          <w:p w14:paraId="79D29FF8">
            <w:pPr>
              <w:snapToGrid w:val="0"/>
              <w:spacing w:line="280" w:lineRule="exact"/>
              <w:jc w:val="center"/>
              <w:rPr>
                <w:rFonts w:hint="eastAsia" w:ascii="Times New Roman" w:hAnsi="Times New Roman" w:eastAsia="楷体_GB2312"/>
                <w:szCs w:val="21"/>
                <w:lang w:val="en-US" w:eastAsia="zh-CN"/>
              </w:rPr>
            </w:pPr>
            <w:r>
              <w:rPr>
                <w:rFonts w:hint="eastAsia" w:ascii="Times New Roman" w:hAnsi="Times New Roman" w:eastAsia="楷体_GB2312"/>
                <w:szCs w:val="21"/>
                <w:lang w:val="en-US" w:eastAsia="zh-CN"/>
              </w:rPr>
              <w:t>2</w:t>
            </w:r>
          </w:p>
        </w:tc>
        <w:tc>
          <w:tcPr>
            <w:tcW w:w="2709" w:type="dxa"/>
            <w:gridSpan w:val="5"/>
            <w:tcBorders>
              <w:top w:val="single" w:color="auto" w:sz="4" w:space="0"/>
              <w:left w:val="single" w:color="auto" w:sz="4" w:space="0"/>
              <w:bottom w:val="single" w:color="auto" w:sz="6" w:space="0"/>
              <w:right w:val="single" w:color="auto" w:sz="4" w:space="0"/>
            </w:tcBorders>
            <w:vAlign w:val="center"/>
          </w:tcPr>
          <w:p w14:paraId="204FEE33">
            <w:pPr>
              <w:snapToGrid w:val="0"/>
              <w:spacing w:line="280" w:lineRule="exact"/>
              <w:jc w:val="center"/>
              <w:rPr>
                <w:rFonts w:ascii="Times New Roman" w:hAnsi="Times New Roman" w:eastAsia="楷体_GB2312"/>
                <w:szCs w:val="21"/>
              </w:rPr>
            </w:pPr>
            <w:r>
              <w:rPr>
                <w:rFonts w:ascii="Times New Roman" w:hAnsi="Times New Roman"/>
              </w:rPr>
              <w:t>授权的其他知识产权（项）</w:t>
            </w:r>
          </w:p>
        </w:tc>
        <w:tc>
          <w:tcPr>
            <w:tcW w:w="1710" w:type="dxa"/>
            <w:gridSpan w:val="2"/>
            <w:tcBorders>
              <w:top w:val="single" w:color="auto" w:sz="4" w:space="0"/>
              <w:left w:val="single" w:color="auto" w:sz="4" w:space="0"/>
              <w:bottom w:val="single" w:color="auto" w:sz="6" w:space="0"/>
              <w:right w:val="single" w:color="auto" w:sz="12" w:space="0"/>
            </w:tcBorders>
            <w:vAlign w:val="center"/>
          </w:tcPr>
          <w:p w14:paraId="3571CCCE">
            <w:pPr>
              <w:snapToGrid w:val="0"/>
              <w:spacing w:line="280" w:lineRule="exact"/>
              <w:jc w:val="center"/>
              <w:rPr>
                <w:rFonts w:hint="eastAsia" w:ascii="Times New Roman" w:hAnsi="Times New Roman" w:eastAsia="楷体_GB2312"/>
                <w:szCs w:val="21"/>
                <w:lang w:val="en-US" w:eastAsia="zh-CN"/>
              </w:rPr>
            </w:pPr>
            <w:r>
              <w:rPr>
                <w:rFonts w:hint="eastAsia" w:ascii="Times New Roman" w:hAnsi="Times New Roman" w:eastAsia="楷体_GB2312"/>
                <w:szCs w:val="21"/>
                <w:lang w:val="en-US" w:eastAsia="zh-CN"/>
              </w:rPr>
              <w:t>0</w:t>
            </w:r>
          </w:p>
        </w:tc>
      </w:tr>
      <w:tr w14:paraId="41A6D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exact"/>
          <w:jc w:val="center"/>
        </w:trPr>
        <w:tc>
          <w:tcPr>
            <w:tcW w:w="2330" w:type="dxa"/>
            <w:gridSpan w:val="3"/>
            <w:tcBorders>
              <w:left w:val="single" w:color="auto" w:sz="12" w:space="0"/>
            </w:tcBorders>
            <w:vAlign w:val="center"/>
          </w:tcPr>
          <w:p w14:paraId="249E6A69">
            <w:pPr>
              <w:snapToGrid w:val="0"/>
              <w:spacing w:line="360" w:lineRule="exact"/>
              <w:jc w:val="center"/>
              <w:rPr>
                <w:rFonts w:ascii="Times New Roman" w:hAnsi="Times New Roman"/>
                <w:szCs w:val="21"/>
              </w:rPr>
            </w:pPr>
            <w:r>
              <w:rPr>
                <w:rFonts w:ascii="Times New Roman" w:hAnsi="Times New Roman"/>
                <w:szCs w:val="21"/>
              </w:rPr>
              <w:t>项目起止时间</w:t>
            </w:r>
          </w:p>
        </w:tc>
        <w:tc>
          <w:tcPr>
            <w:tcW w:w="999" w:type="dxa"/>
            <w:tcBorders>
              <w:right w:val="nil"/>
            </w:tcBorders>
            <w:vAlign w:val="center"/>
          </w:tcPr>
          <w:p w14:paraId="6C65065F">
            <w:pPr>
              <w:snapToGrid w:val="0"/>
              <w:spacing w:line="280" w:lineRule="exact"/>
              <w:jc w:val="center"/>
              <w:rPr>
                <w:rFonts w:ascii="Times New Roman" w:hAnsi="Times New Roman"/>
                <w:szCs w:val="20"/>
              </w:rPr>
            </w:pPr>
            <w:r>
              <w:rPr>
                <w:rFonts w:ascii="Times New Roman" w:hAnsi="Times New Roman"/>
                <w:szCs w:val="20"/>
              </w:rPr>
              <w:t>起始：</w:t>
            </w:r>
          </w:p>
        </w:tc>
        <w:tc>
          <w:tcPr>
            <w:tcW w:w="1784" w:type="dxa"/>
            <w:tcBorders>
              <w:left w:val="nil"/>
              <w:right w:val="single" w:color="auto" w:sz="4" w:space="0"/>
            </w:tcBorders>
            <w:vAlign w:val="center"/>
          </w:tcPr>
          <w:p w14:paraId="7AB26E9B">
            <w:pPr>
              <w:snapToGrid w:val="0"/>
              <w:spacing w:line="280" w:lineRule="exact"/>
              <w:jc w:val="center"/>
              <w:rPr>
                <w:rFonts w:ascii="Times New Roman" w:hAnsi="Times New Roman"/>
                <w:szCs w:val="20"/>
              </w:rPr>
            </w:pPr>
            <w:r>
              <w:rPr>
                <w:rFonts w:hint="eastAsia" w:ascii="Times New Roman" w:hAnsi="Times New Roman"/>
                <w:szCs w:val="20"/>
                <w:lang w:val="en-US" w:eastAsia="zh-CN"/>
              </w:rPr>
              <w:t>2012</w:t>
            </w:r>
            <w:r>
              <w:rPr>
                <w:rFonts w:ascii="Times New Roman" w:hAnsi="Times New Roman"/>
                <w:szCs w:val="20"/>
              </w:rPr>
              <w:t>年</w:t>
            </w:r>
            <w:r>
              <w:rPr>
                <w:rFonts w:hint="eastAsia" w:ascii="Times New Roman" w:hAnsi="Times New Roman"/>
                <w:szCs w:val="20"/>
                <w:lang w:val="en-US" w:eastAsia="zh-CN"/>
              </w:rPr>
              <w:t>01</w:t>
            </w:r>
            <w:r>
              <w:rPr>
                <w:rFonts w:ascii="Times New Roman" w:hAnsi="Times New Roman"/>
                <w:szCs w:val="20"/>
              </w:rPr>
              <w:t>月</w:t>
            </w:r>
            <w:r>
              <w:rPr>
                <w:rFonts w:hint="eastAsia" w:ascii="Times New Roman" w:hAnsi="Times New Roman"/>
                <w:szCs w:val="20"/>
                <w:lang w:val="en-US" w:eastAsia="zh-CN"/>
              </w:rPr>
              <w:t>01</w:t>
            </w:r>
            <w:r>
              <w:rPr>
                <w:rFonts w:ascii="Times New Roman" w:hAnsi="Times New Roman"/>
                <w:szCs w:val="20"/>
              </w:rPr>
              <w:t xml:space="preserve">日 </w:t>
            </w:r>
          </w:p>
        </w:tc>
        <w:tc>
          <w:tcPr>
            <w:tcW w:w="1344" w:type="dxa"/>
            <w:gridSpan w:val="2"/>
            <w:tcBorders>
              <w:left w:val="single" w:color="auto" w:sz="4" w:space="0"/>
              <w:right w:val="nil"/>
            </w:tcBorders>
            <w:vAlign w:val="center"/>
          </w:tcPr>
          <w:p w14:paraId="2A4A3981">
            <w:pPr>
              <w:snapToGrid w:val="0"/>
              <w:spacing w:line="280" w:lineRule="exact"/>
              <w:jc w:val="center"/>
              <w:rPr>
                <w:rFonts w:ascii="Times New Roman" w:hAnsi="Times New Roman"/>
                <w:szCs w:val="20"/>
              </w:rPr>
            </w:pPr>
            <w:r>
              <w:rPr>
                <w:rFonts w:ascii="Times New Roman" w:hAnsi="Times New Roman"/>
                <w:szCs w:val="20"/>
              </w:rPr>
              <w:t>完成：</w:t>
            </w:r>
          </w:p>
        </w:tc>
        <w:tc>
          <w:tcPr>
            <w:tcW w:w="3075" w:type="dxa"/>
            <w:gridSpan w:val="5"/>
            <w:tcBorders>
              <w:left w:val="nil"/>
              <w:right w:val="single" w:color="auto" w:sz="12" w:space="0"/>
            </w:tcBorders>
            <w:vAlign w:val="center"/>
          </w:tcPr>
          <w:p w14:paraId="7C8CD3D0">
            <w:pPr>
              <w:snapToGrid w:val="0"/>
              <w:spacing w:line="280" w:lineRule="exact"/>
              <w:jc w:val="center"/>
              <w:rPr>
                <w:rFonts w:ascii="Times New Roman" w:hAnsi="Times New Roman"/>
                <w:szCs w:val="20"/>
              </w:rPr>
            </w:pPr>
            <w:r>
              <w:rPr>
                <w:rFonts w:hint="eastAsia" w:ascii="Times New Roman" w:hAnsi="Times New Roman"/>
                <w:szCs w:val="20"/>
                <w:lang w:val="en-US" w:eastAsia="zh-CN"/>
              </w:rPr>
              <w:t>2024</w:t>
            </w:r>
            <w:r>
              <w:rPr>
                <w:rFonts w:ascii="Times New Roman" w:hAnsi="Times New Roman"/>
                <w:szCs w:val="20"/>
              </w:rPr>
              <w:t>年</w:t>
            </w:r>
            <w:r>
              <w:rPr>
                <w:rFonts w:hint="eastAsia" w:ascii="Times New Roman" w:hAnsi="Times New Roman"/>
                <w:szCs w:val="20"/>
                <w:lang w:val="en-US" w:eastAsia="zh-CN"/>
              </w:rPr>
              <w:t>12</w:t>
            </w:r>
            <w:r>
              <w:rPr>
                <w:rFonts w:ascii="Times New Roman" w:hAnsi="Times New Roman"/>
                <w:szCs w:val="20"/>
              </w:rPr>
              <w:t>月</w:t>
            </w:r>
            <w:r>
              <w:rPr>
                <w:rFonts w:hint="eastAsia" w:ascii="Times New Roman" w:hAnsi="Times New Roman"/>
                <w:szCs w:val="20"/>
                <w:lang w:val="en-US" w:eastAsia="zh-CN"/>
              </w:rPr>
              <w:t>31</w:t>
            </w:r>
            <w:r>
              <w:rPr>
                <w:rFonts w:ascii="Times New Roman" w:hAnsi="Times New Roman"/>
                <w:szCs w:val="20"/>
              </w:rPr>
              <w:t>日</w:t>
            </w:r>
          </w:p>
        </w:tc>
      </w:tr>
      <w:tr w14:paraId="2D442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exact"/>
          <w:jc w:val="center"/>
        </w:trPr>
        <w:tc>
          <w:tcPr>
            <w:tcW w:w="2330" w:type="dxa"/>
            <w:gridSpan w:val="3"/>
            <w:tcBorders>
              <w:left w:val="single" w:color="auto" w:sz="12" w:space="0"/>
              <w:bottom w:val="single" w:color="auto" w:sz="12" w:space="0"/>
            </w:tcBorders>
            <w:vAlign w:val="center"/>
          </w:tcPr>
          <w:p w14:paraId="398B8888">
            <w:pPr>
              <w:snapToGrid w:val="0"/>
              <w:spacing w:line="360" w:lineRule="exact"/>
              <w:jc w:val="center"/>
              <w:rPr>
                <w:rFonts w:ascii="Times New Roman" w:hAnsi="Times New Roman"/>
                <w:szCs w:val="21"/>
              </w:rPr>
            </w:pPr>
            <w:r>
              <w:rPr>
                <w:rFonts w:ascii="Times New Roman" w:hAnsi="Times New Roman"/>
              </w:rPr>
              <w:t>推荐等级</w:t>
            </w:r>
          </w:p>
        </w:tc>
        <w:tc>
          <w:tcPr>
            <w:tcW w:w="7202" w:type="dxa"/>
            <w:gridSpan w:val="9"/>
            <w:tcBorders>
              <w:bottom w:val="single" w:color="auto" w:sz="12" w:space="0"/>
              <w:right w:val="single" w:color="auto" w:sz="12" w:space="0"/>
            </w:tcBorders>
            <w:vAlign w:val="center"/>
          </w:tcPr>
          <w:p w14:paraId="0ED21A35">
            <w:pPr>
              <w:snapToGrid w:val="0"/>
              <w:spacing w:line="360" w:lineRule="exact"/>
              <w:jc w:val="center"/>
              <w:rPr>
                <w:rFonts w:ascii="Times New Roman" w:hAnsi="Times New Roman"/>
              </w:rPr>
            </w:pPr>
            <w:r>
              <w:rPr>
                <w:rFonts w:hint="eastAsia" w:ascii="Times New Roman" w:hAnsi="Times New Roman"/>
                <w:szCs w:val="21"/>
                <w:highlight w:val="none"/>
                <w:lang w:eastAsia="zh-CN"/>
              </w:rPr>
              <w:t>一等奖或二等奖</w:t>
            </w:r>
          </w:p>
        </w:tc>
      </w:tr>
    </w:tbl>
    <w:p w14:paraId="2B2E12D2">
      <w:pPr>
        <w:rPr>
          <w:rStyle w:val="14"/>
          <w:rFonts w:ascii="Times New Roman" w:hAnsi="Times New Roman" w:eastAsia="仿宋_GB2312"/>
          <w:szCs w:val="21"/>
        </w:rPr>
      </w:pPr>
      <w:r>
        <w:rPr>
          <w:rStyle w:val="14"/>
          <w:rFonts w:ascii="Times New Roman" w:hAnsi="Times New Roman" w:eastAsia="仿宋_GB2312"/>
          <w:szCs w:val="21"/>
        </w:rPr>
        <w:br w:type="page"/>
      </w:r>
    </w:p>
    <w:p w14:paraId="60BAFB63">
      <w:pPr>
        <w:rPr>
          <w:rStyle w:val="14"/>
          <w:rFonts w:ascii="Times New Roman" w:hAnsi="Times New Roman" w:eastAsia="仿宋_GB2312"/>
          <w:szCs w:val="21"/>
        </w:rPr>
      </w:pPr>
    </w:p>
    <w:p w14:paraId="71530F3F">
      <w:pPr>
        <w:spacing w:line="360" w:lineRule="auto"/>
        <w:ind w:firstLine="420" w:firstLineChars="200"/>
        <w:rPr>
          <w:rFonts w:hint="eastAsia" w:ascii="Times New Roman" w:hAnsi="Times New Roman"/>
          <w:szCs w:val="21"/>
        </w:rPr>
      </w:pPr>
      <w:r>
        <w:rPr>
          <w:rFonts w:hint="eastAsia" w:ascii="Times New Roman" w:hAnsi="Times New Roman"/>
          <w:szCs w:val="21"/>
        </w:rPr>
        <w:t>该项目面向国家粮食安全保障与农业文化遗产保护双重重大战略需求，针对梯田撂荒引发生态系统退化、粮食产能下降、文化景观</w:t>
      </w:r>
      <w:r>
        <w:rPr>
          <w:rFonts w:hint="eastAsia" w:ascii="Times New Roman" w:hAnsi="Times New Roman"/>
          <w:szCs w:val="21"/>
          <w:lang w:eastAsia="zh-CN"/>
        </w:rPr>
        <w:t>消失</w:t>
      </w:r>
      <w:r>
        <w:rPr>
          <w:rFonts w:hint="eastAsia" w:ascii="Times New Roman" w:hAnsi="Times New Roman"/>
          <w:szCs w:val="21"/>
        </w:rPr>
        <w:t>等突出问题，在国家自然科学基金重点项目、国际（地区）合作与交流项目等科研任务支持下，以“规律刻画—机理解析—风险调控”为创新链，历经十余年攻关，在梯田撂荒演化理论与风险精准调控技术方面取得系统性原创成果。</w:t>
      </w:r>
    </w:p>
    <w:p w14:paraId="75519453">
      <w:pPr>
        <w:spacing w:line="360" w:lineRule="auto"/>
        <w:ind w:firstLine="420" w:firstLineChars="200"/>
        <w:rPr>
          <w:rFonts w:hint="eastAsia" w:ascii="Times New Roman" w:hAnsi="Times New Roman"/>
          <w:szCs w:val="21"/>
        </w:rPr>
      </w:pPr>
      <w:r>
        <w:rPr>
          <w:rFonts w:hint="eastAsia" w:ascii="Times New Roman" w:hAnsi="Times New Roman"/>
          <w:szCs w:val="21"/>
        </w:rPr>
        <w:t>项目创新构建了全国首个梯田地理空间大数据库，突破基于深度学习的米级空间分辨率梯田提取技术，精度达99.66%，</w:t>
      </w:r>
      <w:r>
        <w:rPr>
          <w:rFonts w:hint="eastAsia" w:ascii="Times New Roman" w:hAnsi="Times New Roman"/>
          <w:szCs w:val="21"/>
          <w:lang w:eastAsia="zh-CN"/>
        </w:rPr>
        <w:t>结合空间大样本农户抽样调查技术，</w:t>
      </w:r>
      <w:r>
        <w:rPr>
          <w:rFonts w:hint="eastAsia" w:ascii="Times New Roman" w:hAnsi="Times New Roman"/>
          <w:szCs w:val="21"/>
        </w:rPr>
        <w:t>系统揭示了全国梯田撂荒时空演化规律；原创性提出“自然-社会-制度”三重因素交互驱动的中国特色梯田撂荒演化理论，攻克了“宏观-微观”多尺度驱动机制定量化解析难题；研发了耦合多维度-多情景的梯田撂荒风险预警与智能决策支持系统，实现从现状认知到政策模拟的闭环管理。</w:t>
      </w:r>
    </w:p>
    <w:p w14:paraId="48ADCDF9">
      <w:pPr>
        <w:spacing w:line="360" w:lineRule="auto"/>
        <w:ind w:firstLine="420" w:firstLineChars="200"/>
        <w:rPr>
          <w:rFonts w:hint="eastAsia" w:ascii="Times New Roman" w:hAnsi="Times New Roman"/>
          <w:szCs w:val="21"/>
        </w:rPr>
      </w:pPr>
      <w:r>
        <w:rPr>
          <w:rFonts w:hint="eastAsia" w:ascii="Times New Roman" w:hAnsi="Times New Roman"/>
          <w:szCs w:val="21"/>
        </w:rPr>
        <w:t>项目</w:t>
      </w:r>
      <w:r>
        <w:rPr>
          <w:rFonts w:hint="eastAsia" w:ascii="Times New Roman" w:hAnsi="Times New Roman"/>
          <w:szCs w:val="21"/>
          <w:lang w:val="en-US" w:eastAsia="zh-CN"/>
        </w:rPr>
        <w:t>累计</w:t>
      </w:r>
      <w:r>
        <w:rPr>
          <w:rFonts w:hint="eastAsia" w:ascii="Times New Roman" w:hAnsi="Times New Roman"/>
          <w:szCs w:val="21"/>
        </w:rPr>
        <w:t>发表论文</w:t>
      </w:r>
      <w:r>
        <w:rPr>
          <w:rFonts w:hint="eastAsia" w:ascii="Times New Roman" w:hAnsi="Times New Roman"/>
          <w:szCs w:val="21"/>
          <w:lang w:val="en-US" w:eastAsia="zh-CN"/>
        </w:rPr>
        <w:t>88</w:t>
      </w:r>
      <w:r>
        <w:rPr>
          <w:rFonts w:hint="eastAsia" w:ascii="Times New Roman" w:hAnsi="Times New Roman"/>
          <w:szCs w:val="21"/>
        </w:rPr>
        <w:t>篇（SCI</w:t>
      </w:r>
      <w:r>
        <w:rPr>
          <w:rFonts w:hint="eastAsia" w:ascii="Times New Roman" w:hAnsi="Times New Roman"/>
          <w:szCs w:val="21"/>
          <w:lang w:val="en-US" w:eastAsia="zh-CN"/>
        </w:rPr>
        <w:t>/SSCI</w:t>
      </w:r>
      <w:r>
        <w:rPr>
          <w:rFonts w:hint="eastAsia" w:ascii="Times New Roman" w:hAnsi="Times New Roman"/>
          <w:szCs w:val="21"/>
        </w:rPr>
        <w:t>收录</w:t>
      </w:r>
      <w:r>
        <w:rPr>
          <w:rFonts w:hint="eastAsia" w:ascii="Times New Roman" w:hAnsi="Times New Roman"/>
          <w:szCs w:val="21"/>
          <w:lang w:val="en-US" w:eastAsia="zh-CN"/>
        </w:rPr>
        <w:t>42</w:t>
      </w:r>
      <w:r>
        <w:rPr>
          <w:rFonts w:hint="eastAsia" w:ascii="Times New Roman" w:hAnsi="Times New Roman"/>
          <w:szCs w:val="21"/>
        </w:rPr>
        <w:t>篇），出版专著</w:t>
      </w:r>
      <w:r>
        <w:rPr>
          <w:rFonts w:hint="eastAsia" w:ascii="Times New Roman" w:hAnsi="Times New Roman"/>
          <w:szCs w:val="21"/>
          <w:lang w:val="en-US" w:eastAsia="zh-CN"/>
        </w:rPr>
        <w:t>2</w:t>
      </w:r>
      <w:r>
        <w:rPr>
          <w:rFonts w:hint="eastAsia" w:ascii="Times New Roman" w:hAnsi="Times New Roman"/>
          <w:szCs w:val="21"/>
        </w:rPr>
        <w:t>部，</w:t>
      </w:r>
      <w:r>
        <w:rPr>
          <w:rFonts w:hint="eastAsia" w:ascii="Times New Roman" w:hAnsi="Times New Roman"/>
          <w:szCs w:val="21"/>
          <w:lang w:val="en-US" w:eastAsia="zh-CN"/>
        </w:rPr>
        <w:t>获</w:t>
      </w:r>
      <w:r>
        <w:rPr>
          <w:rFonts w:hint="eastAsia" w:ascii="Times New Roman" w:hAnsi="Times New Roman"/>
          <w:szCs w:val="21"/>
        </w:rPr>
        <w:t>授权国家发明专利</w:t>
      </w:r>
      <w:r>
        <w:rPr>
          <w:rFonts w:hint="eastAsia" w:ascii="Times New Roman" w:hAnsi="Times New Roman"/>
          <w:szCs w:val="21"/>
          <w:lang w:val="en-US" w:eastAsia="zh-CN"/>
        </w:rPr>
        <w:t>2</w:t>
      </w:r>
      <w:r>
        <w:rPr>
          <w:rFonts w:hint="eastAsia" w:ascii="Times New Roman" w:hAnsi="Times New Roman"/>
          <w:szCs w:val="21"/>
        </w:rPr>
        <w:t>项。成果</w:t>
      </w:r>
      <w:r>
        <w:rPr>
          <w:rFonts w:hint="eastAsia" w:ascii="Times New Roman" w:hAnsi="Times New Roman"/>
          <w:szCs w:val="21"/>
          <w:lang w:val="en-US" w:eastAsia="zh-CN"/>
        </w:rPr>
        <w:t>有力支撑</w:t>
      </w:r>
      <w:r>
        <w:rPr>
          <w:rFonts w:hint="eastAsia" w:ascii="Times New Roman" w:hAnsi="Times New Roman"/>
          <w:szCs w:val="21"/>
        </w:rPr>
        <w:t>全国</w:t>
      </w:r>
      <w:r>
        <w:rPr>
          <w:rFonts w:hint="eastAsia" w:ascii="Times New Roman" w:hAnsi="Times New Roman"/>
          <w:szCs w:val="21"/>
          <w:lang w:val="en-US" w:eastAsia="zh-CN"/>
        </w:rPr>
        <w:t>耕地</w:t>
      </w:r>
      <w:r>
        <w:rPr>
          <w:rFonts w:hint="eastAsia" w:ascii="Times New Roman" w:hAnsi="Times New Roman"/>
          <w:szCs w:val="21"/>
        </w:rPr>
        <w:t>系统保护与可持续管理</w:t>
      </w:r>
      <w:r>
        <w:rPr>
          <w:rFonts w:hint="eastAsia" w:ascii="Times New Roman" w:hAnsi="Times New Roman"/>
          <w:szCs w:val="21"/>
          <w:lang w:val="en-US" w:eastAsia="zh-CN"/>
        </w:rPr>
        <w:t>工作</w:t>
      </w:r>
      <w:r>
        <w:rPr>
          <w:rFonts w:hint="eastAsia" w:ascii="Times New Roman" w:hAnsi="Times New Roman"/>
          <w:szCs w:val="21"/>
        </w:rPr>
        <w:t>，多份政策咨询报告</w:t>
      </w:r>
      <w:r>
        <w:rPr>
          <w:rFonts w:hint="eastAsia" w:ascii="Times New Roman" w:hAnsi="Times New Roman"/>
          <w:szCs w:val="21"/>
          <w:lang w:val="en-US" w:eastAsia="zh-CN"/>
        </w:rPr>
        <w:t>得到中央及</w:t>
      </w:r>
      <w:r>
        <w:rPr>
          <w:rFonts w:hint="eastAsia" w:ascii="Times New Roman" w:hAnsi="Times New Roman"/>
          <w:szCs w:val="21"/>
        </w:rPr>
        <w:t>省部级领导批示</w:t>
      </w:r>
      <w:r>
        <w:rPr>
          <w:rFonts w:hint="eastAsia" w:ascii="Times New Roman" w:hAnsi="Times New Roman"/>
          <w:szCs w:val="21"/>
          <w:lang w:eastAsia="zh-CN"/>
        </w:rPr>
        <w:t>；</w:t>
      </w:r>
      <w:r>
        <w:rPr>
          <w:rFonts w:hint="eastAsia" w:ascii="Times New Roman" w:hAnsi="Times New Roman"/>
          <w:szCs w:val="21"/>
          <w:lang w:val="en-US" w:eastAsia="zh-CN"/>
        </w:rPr>
        <w:t>研究形成的撂荒地</w:t>
      </w:r>
      <w:r>
        <w:rPr>
          <w:rFonts w:hint="eastAsia" w:ascii="Times New Roman" w:hAnsi="Times New Roman"/>
          <w:szCs w:val="21"/>
        </w:rPr>
        <w:t>分区</w:t>
      </w:r>
      <w:r>
        <w:rPr>
          <w:rFonts w:hint="eastAsia" w:ascii="Times New Roman" w:hAnsi="Times New Roman"/>
          <w:szCs w:val="21"/>
          <w:lang w:val="en-US" w:eastAsia="zh-CN"/>
        </w:rPr>
        <w:t>分类</w:t>
      </w:r>
      <w:r>
        <w:rPr>
          <w:rFonts w:hint="eastAsia" w:ascii="Times New Roman" w:hAnsi="Times New Roman"/>
          <w:szCs w:val="21"/>
        </w:rPr>
        <w:t>治理</w:t>
      </w:r>
      <w:r>
        <w:rPr>
          <w:rFonts w:hint="eastAsia" w:ascii="Times New Roman" w:hAnsi="Times New Roman"/>
          <w:szCs w:val="21"/>
          <w:lang w:val="en-US" w:eastAsia="zh-CN"/>
        </w:rPr>
        <w:t>方案已在重庆等多地开展实践应用，为地方撂荒地复耕利用以及梯田宜机化整治提供重要技术支撑，</w:t>
      </w:r>
      <w:r>
        <w:rPr>
          <w:rFonts w:hint="eastAsia" w:ascii="Times New Roman" w:hAnsi="Times New Roman"/>
          <w:szCs w:val="21"/>
        </w:rPr>
        <w:t>在推动撂荒风险精准识别、分类施策与动态调控</w:t>
      </w:r>
      <w:r>
        <w:rPr>
          <w:rFonts w:hint="eastAsia" w:ascii="Times New Roman" w:hAnsi="Times New Roman"/>
          <w:szCs w:val="21"/>
          <w:lang w:val="en-US" w:eastAsia="zh-CN"/>
        </w:rPr>
        <w:t>方面</w:t>
      </w:r>
      <w:r>
        <w:rPr>
          <w:rFonts w:hint="eastAsia" w:ascii="Times New Roman" w:hAnsi="Times New Roman"/>
          <w:szCs w:val="21"/>
        </w:rPr>
        <w:t>发挥关键作用，</w:t>
      </w:r>
      <w:r>
        <w:rPr>
          <w:rFonts w:hint="eastAsia" w:ascii="Times New Roman" w:hAnsi="Times New Roman"/>
          <w:szCs w:val="21"/>
          <w:lang w:val="en-US" w:eastAsia="zh-CN"/>
        </w:rPr>
        <w:t>取得</w:t>
      </w:r>
      <w:r>
        <w:rPr>
          <w:rFonts w:hint="eastAsia" w:ascii="Times New Roman" w:hAnsi="Times New Roman"/>
          <w:szCs w:val="21"/>
        </w:rPr>
        <w:t>显著的社会、经济和生态效益。</w:t>
      </w:r>
      <w:r>
        <w:rPr>
          <w:rFonts w:hint="eastAsia" w:ascii="Times New Roman" w:hAnsi="Times New Roman"/>
          <w:szCs w:val="21"/>
          <w:lang w:val="en-US" w:eastAsia="zh-CN"/>
        </w:rPr>
        <w:t>同时，</w:t>
      </w:r>
      <w:r>
        <w:rPr>
          <w:rFonts w:hint="eastAsia" w:ascii="Times New Roman" w:hAnsi="Times New Roman"/>
          <w:szCs w:val="21"/>
        </w:rPr>
        <w:t>项目培养了一批</w:t>
      </w:r>
      <w:r>
        <w:rPr>
          <w:rFonts w:hint="eastAsia" w:ascii="Times New Roman" w:hAnsi="Times New Roman"/>
          <w:szCs w:val="21"/>
          <w:lang w:val="en-US" w:eastAsia="zh-CN"/>
        </w:rPr>
        <w:t>致力于</w:t>
      </w:r>
      <w:r>
        <w:rPr>
          <w:rFonts w:hint="eastAsia" w:ascii="Times New Roman" w:hAnsi="Times New Roman"/>
          <w:szCs w:val="21"/>
        </w:rPr>
        <w:t>梯田保护与可持续利用</w:t>
      </w:r>
      <w:r>
        <w:rPr>
          <w:rFonts w:hint="eastAsia" w:ascii="Times New Roman" w:hAnsi="Times New Roman"/>
          <w:szCs w:val="21"/>
          <w:lang w:val="en-US" w:eastAsia="zh-CN"/>
        </w:rPr>
        <w:t>研究</w:t>
      </w:r>
      <w:r>
        <w:rPr>
          <w:rFonts w:hint="eastAsia" w:ascii="Times New Roman" w:hAnsi="Times New Roman"/>
          <w:szCs w:val="21"/>
        </w:rPr>
        <w:t>的</w:t>
      </w:r>
      <w:r>
        <w:rPr>
          <w:rFonts w:hint="eastAsia" w:ascii="Times New Roman" w:hAnsi="Times New Roman"/>
          <w:szCs w:val="21"/>
          <w:lang w:val="en-US" w:eastAsia="zh-CN"/>
        </w:rPr>
        <w:t>专业</w:t>
      </w:r>
      <w:r>
        <w:rPr>
          <w:rFonts w:hint="eastAsia" w:ascii="Times New Roman" w:hAnsi="Times New Roman"/>
          <w:szCs w:val="21"/>
          <w:lang w:eastAsia="zh-CN"/>
        </w:rPr>
        <w:t>科研</w:t>
      </w:r>
      <w:r>
        <w:rPr>
          <w:rFonts w:hint="eastAsia" w:ascii="Times New Roman" w:hAnsi="Times New Roman"/>
          <w:szCs w:val="21"/>
        </w:rPr>
        <w:t>人才。</w:t>
      </w:r>
    </w:p>
    <w:p w14:paraId="33CCB6C4">
      <w:pPr>
        <w:spacing w:line="360" w:lineRule="auto"/>
        <w:ind w:firstLine="420" w:firstLineChars="200"/>
        <w:rPr>
          <w:rFonts w:hint="eastAsia" w:ascii="Times New Roman" w:hAnsi="Times New Roman"/>
          <w:szCs w:val="21"/>
        </w:rPr>
      </w:pPr>
      <w:r>
        <w:rPr>
          <w:rFonts w:hint="eastAsia" w:ascii="Times New Roman" w:hAnsi="Times New Roman"/>
          <w:szCs w:val="21"/>
        </w:rPr>
        <w:t>综上，该项目成果创新性突出、应用成效显著，同意推荐申报自然资源科技进步奖</w:t>
      </w:r>
      <w:r>
        <w:rPr>
          <w:rFonts w:hint="eastAsia" w:ascii="Times New Roman" w:hAnsi="Times New Roman"/>
          <w:szCs w:val="21"/>
          <w:lang w:val="en-US" w:eastAsia="zh-CN"/>
        </w:rPr>
        <w:t>一</w:t>
      </w:r>
      <w:r>
        <w:rPr>
          <w:rFonts w:hint="eastAsia" w:ascii="Times New Roman" w:hAnsi="Times New Roman"/>
          <w:szCs w:val="21"/>
        </w:rPr>
        <w:t>等奖。</w:t>
      </w:r>
    </w:p>
    <w:p w14:paraId="0335A41B">
      <w:pPr>
        <w:spacing w:line="360" w:lineRule="auto"/>
        <w:ind w:firstLine="640" w:firstLineChars="200"/>
        <w:rPr>
          <w:rFonts w:ascii="Times New Roman" w:hAnsi="Times New Roman" w:eastAsia="黑体"/>
          <w:bCs/>
          <w:sz w:val="32"/>
          <w:szCs w:val="32"/>
        </w:rPr>
      </w:pPr>
      <w:r>
        <w:rPr>
          <w:rFonts w:ascii="Times New Roman" w:hAnsi="Times New Roman" w:eastAsia="黑体"/>
          <w:bCs/>
          <w:sz w:val="32"/>
          <w:szCs w:val="32"/>
        </w:rPr>
        <w:br w:type="page"/>
      </w:r>
    </w:p>
    <w:p w14:paraId="11C239A9">
      <w:pPr>
        <w:jc w:val="center"/>
        <w:rPr>
          <w:rFonts w:ascii="Times New Roman" w:hAnsi="Times New Roman" w:eastAsia="黑体"/>
          <w:bCs/>
          <w:sz w:val="32"/>
        </w:rPr>
      </w:pPr>
      <w:r>
        <w:rPr>
          <w:rFonts w:ascii="Times New Roman" w:hAnsi="Times New Roman" w:eastAsia="黑体"/>
          <w:bCs/>
          <w:sz w:val="32"/>
        </w:rPr>
        <w:t>三、成果简介</w:t>
      </w:r>
    </w:p>
    <w:p w14:paraId="632ABB32">
      <w:pPr>
        <w:jc w:val="center"/>
        <w:rPr>
          <w:rFonts w:ascii="Times New Roman" w:hAnsi="Times New Roman" w:eastAsia="楷体"/>
          <w:szCs w:val="21"/>
        </w:rPr>
      </w:pPr>
      <w:bookmarkStart w:id="2" w:name="xm_brief"/>
      <w:bookmarkEnd w:id="2"/>
      <w:bookmarkStart w:id="3" w:name="xx_brief"/>
      <w:bookmarkEnd w:id="3"/>
      <w:r>
        <w:rPr>
          <w:rFonts w:ascii="Times New Roman" w:hAnsi="Times New Roman" w:eastAsia="黑体"/>
          <w:szCs w:val="21"/>
        </w:rPr>
        <w:t>（限1200字）</w:t>
      </w:r>
    </w:p>
    <w:p w14:paraId="2824C432">
      <w:pPr>
        <w:spacing w:line="240" w:lineRule="auto"/>
        <w:ind w:firstLine="420" w:firstLineChars="200"/>
        <w:rPr>
          <w:rFonts w:hint="eastAsia" w:ascii="Times New Roman" w:hAnsi="Times New Roman" w:eastAsia="楷体"/>
          <w:szCs w:val="21"/>
        </w:rPr>
      </w:pPr>
    </w:p>
    <w:p w14:paraId="49C370FD">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rPr>
        <w:t>梯田撂荒</w:t>
      </w:r>
      <w:r>
        <w:rPr>
          <w:rFonts w:hint="eastAsia" w:ascii="Times New Roman" w:hAnsi="Times New Roman" w:eastAsia="楷体"/>
          <w:szCs w:val="21"/>
          <w:lang w:eastAsia="zh-CN"/>
        </w:rPr>
        <w:t>是</w:t>
      </w:r>
      <w:r>
        <w:rPr>
          <w:rFonts w:hint="eastAsia" w:ascii="Times New Roman" w:hAnsi="Times New Roman" w:eastAsia="楷体"/>
          <w:szCs w:val="21"/>
        </w:rPr>
        <w:t>当前我国山区最严峻的土地利用变化问题之一，由此引发的生态系统退化、粮食产能下降、文化景观</w:t>
      </w:r>
      <w:r>
        <w:rPr>
          <w:rFonts w:hint="eastAsia" w:ascii="Times New Roman" w:hAnsi="Times New Roman" w:eastAsia="楷体"/>
          <w:szCs w:val="21"/>
          <w:lang w:eastAsia="zh-CN"/>
        </w:rPr>
        <w:t>消失</w:t>
      </w:r>
      <w:r>
        <w:rPr>
          <w:rFonts w:hint="eastAsia" w:ascii="Times New Roman" w:hAnsi="Times New Roman" w:eastAsia="楷体"/>
          <w:szCs w:val="21"/>
        </w:rPr>
        <w:t>等连锁效应，直接威胁国家粮食安全与农业文化遗产保护。面向上述双重重大战略需求，如何精准刻画梯田撂荒时空格局、系统揭示其演化机理、科学实施风险调控，成为自然资源领域亟待突破的重大课题。</w:t>
      </w:r>
    </w:p>
    <w:p w14:paraId="34EF0A22">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rPr>
        <w:t>研究团队在国家自然科学基金重点项目、国际（地区）合作与交流项目等科研任务支持下，以“规律刻画—机理解析—风险调控”为创新链，研发梯田撂荒演化理论创新与风险精准调控关键技术，取得以下创新成果。</w:t>
      </w:r>
    </w:p>
    <w:p w14:paraId="603EA598">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rPr>
        <w:t>（1）构建全国首个梯田地理空间大数据库，精准刻画全国梯田撂荒时空过程规律。突破梯田复杂地貌遥感监测瓶颈，创新基于深度学习的米级空间分辨率梯田提取技术，总体精度达99.66%；研发“天—地—人”协同的全国大样本农户抽样调查技术体系，构建覆盖全国梯田区的权威耕地撂荒信息数据库；揭示全国梯田撂荒演化时空过程规律，多份政策咨询报告获</w:t>
      </w:r>
      <w:r>
        <w:rPr>
          <w:rFonts w:hint="eastAsia" w:ascii="Times New Roman" w:hAnsi="Times New Roman" w:eastAsia="楷体"/>
          <w:szCs w:val="21"/>
          <w:lang w:eastAsia="zh-CN"/>
        </w:rPr>
        <w:t>中办与</w:t>
      </w:r>
      <w:r>
        <w:rPr>
          <w:rFonts w:hint="eastAsia" w:ascii="Times New Roman" w:hAnsi="Times New Roman" w:eastAsia="楷体"/>
          <w:szCs w:val="21"/>
        </w:rPr>
        <w:t>省部级领导批示。</w:t>
      </w:r>
    </w:p>
    <w:p w14:paraId="7DADC6A6">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rPr>
        <w:t>（2）创新“自然-社会-制度”框架下的中国特色梯田撂荒演化理论，系统揭示梯田撂荒“宏观-微观”协同驱动机制。创建“社会经济-自然禀赋-制度政策”三重因素交互驱动的宏观解释框架，突破碎片化认知局限；创新微观农户撂荒行为决策的“成本-收益”动态博弈模型；揭示“宏观-微观”互馈的梯田撂荒驱动机理，首次实现对核心驱动因素定量化贡献率厘定，为解析复杂人地系统行为、制定差异化治理政策提供关键科学依据。</w:t>
      </w:r>
    </w:p>
    <w:p w14:paraId="4CFAB643">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rPr>
        <w:t>（3）突破梯田撂荒风险模拟技术，研发一体化治理决策支持系统。构建耦合多维度-多情景的双尺度风险预警模型，打通“管理单元—地理空间”评估链路；搭建生态与粮食安全效应协同评估技术平台，实现多目标权衡分析；开发集“识别-诊断-分区”于一体的智能决策支持系统，实现撂荒治理从现状认知到政策模拟的闭环管理，成果已在</w:t>
      </w:r>
      <w:r>
        <w:rPr>
          <w:rFonts w:hint="eastAsia" w:ascii="Times New Roman" w:hAnsi="Times New Roman" w:eastAsia="楷体"/>
          <w:szCs w:val="21"/>
          <w:lang w:val="en-US" w:eastAsia="zh-CN"/>
        </w:rPr>
        <w:t>重庆等地的撂荒耕地管控中落地</w:t>
      </w:r>
      <w:r>
        <w:rPr>
          <w:rFonts w:hint="eastAsia" w:ascii="Times New Roman" w:hAnsi="Times New Roman" w:eastAsia="楷体"/>
          <w:szCs w:val="21"/>
        </w:rPr>
        <w:t>应用。</w:t>
      </w:r>
    </w:p>
    <w:p w14:paraId="111A7493">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rPr>
        <w:t>项目在国内外学术期刊发表论文</w:t>
      </w:r>
      <w:r>
        <w:rPr>
          <w:rFonts w:hint="eastAsia" w:ascii="Times New Roman" w:hAnsi="Times New Roman" w:eastAsia="楷体"/>
          <w:szCs w:val="21"/>
          <w:lang w:val="en-US" w:eastAsia="zh-CN"/>
        </w:rPr>
        <w:t>88</w:t>
      </w:r>
      <w:r>
        <w:rPr>
          <w:rFonts w:hint="eastAsia" w:ascii="Times New Roman" w:hAnsi="Times New Roman" w:eastAsia="楷体"/>
          <w:szCs w:val="21"/>
        </w:rPr>
        <w:t>篇（SCI</w:t>
      </w:r>
      <w:r>
        <w:rPr>
          <w:rFonts w:hint="eastAsia" w:ascii="Times New Roman" w:hAnsi="Times New Roman" w:eastAsia="楷体"/>
          <w:szCs w:val="21"/>
          <w:lang w:val="en-US" w:eastAsia="zh-CN"/>
        </w:rPr>
        <w:t>/SSCI</w:t>
      </w:r>
      <w:r>
        <w:rPr>
          <w:rFonts w:hint="eastAsia" w:ascii="Times New Roman" w:hAnsi="Times New Roman" w:eastAsia="楷体"/>
          <w:szCs w:val="21"/>
        </w:rPr>
        <w:t>收录</w:t>
      </w:r>
      <w:r>
        <w:rPr>
          <w:rFonts w:hint="eastAsia" w:ascii="Times New Roman" w:hAnsi="Times New Roman" w:eastAsia="楷体"/>
          <w:szCs w:val="21"/>
          <w:lang w:val="en-US" w:eastAsia="zh-CN"/>
        </w:rPr>
        <w:t>42</w:t>
      </w:r>
      <w:r>
        <w:rPr>
          <w:rFonts w:hint="eastAsia" w:ascii="Times New Roman" w:hAnsi="Times New Roman" w:eastAsia="楷体"/>
          <w:szCs w:val="21"/>
        </w:rPr>
        <w:t>篇），出版专著</w:t>
      </w:r>
      <w:r>
        <w:rPr>
          <w:rFonts w:hint="eastAsia" w:ascii="Times New Roman" w:hAnsi="Times New Roman" w:eastAsia="楷体"/>
          <w:szCs w:val="21"/>
          <w:lang w:val="en-US" w:eastAsia="zh-CN"/>
        </w:rPr>
        <w:t>2</w:t>
      </w:r>
      <w:r>
        <w:rPr>
          <w:rFonts w:hint="eastAsia" w:ascii="Times New Roman" w:hAnsi="Times New Roman" w:eastAsia="楷体"/>
          <w:szCs w:val="21"/>
        </w:rPr>
        <w:t>部，授权国家发明专利</w:t>
      </w:r>
      <w:r>
        <w:rPr>
          <w:rFonts w:hint="eastAsia" w:ascii="Times New Roman" w:hAnsi="Times New Roman" w:eastAsia="楷体"/>
          <w:szCs w:val="21"/>
          <w:lang w:val="en-US" w:eastAsia="zh-CN"/>
        </w:rPr>
        <w:t>2</w:t>
      </w:r>
      <w:r>
        <w:rPr>
          <w:rFonts w:hint="eastAsia" w:ascii="Times New Roman" w:hAnsi="Times New Roman" w:eastAsia="楷体"/>
          <w:szCs w:val="21"/>
        </w:rPr>
        <w:t>项</w:t>
      </w:r>
      <w:r>
        <w:rPr>
          <w:rFonts w:hint="eastAsia" w:ascii="Times New Roman" w:hAnsi="Times New Roman" w:eastAsia="楷体"/>
          <w:szCs w:val="21"/>
          <w:lang w:eastAsia="zh-CN"/>
        </w:rPr>
        <w:t>，获批政策咨询报告</w:t>
      </w:r>
      <w:r>
        <w:rPr>
          <w:rFonts w:hint="eastAsia" w:ascii="Times New Roman" w:hAnsi="Times New Roman" w:eastAsia="楷体"/>
          <w:szCs w:val="21"/>
          <w:lang w:val="en-US" w:eastAsia="zh-CN"/>
        </w:rPr>
        <w:t>6份</w:t>
      </w:r>
      <w:r>
        <w:rPr>
          <w:rFonts w:hint="eastAsia" w:ascii="Times New Roman" w:hAnsi="Times New Roman" w:eastAsia="楷体"/>
          <w:szCs w:val="21"/>
        </w:rPr>
        <w:t>。成果支撑国家粮食安全保障与农业文化遗产保护战略，直接服务于全国梯田系统保护与可持续管理，在推动梯田撂荒风险精准识别、分类施策与动态调控中发挥关键支撑作用。</w:t>
      </w:r>
    </w:p>
    <w:p w14:paraId="7E45A4E8">
      <w:pPr>
        <w:spacing w:line="240" w:lineRule="auto"/>
        <w:ind w:firstLine="420" w:firstLineChars="200"/>
        <w:rPr>
          <w:rFonts w:hint="eastAsia" w:ascii="Times New Roman" w:hAnsi="Times New Roman" w:eastAsia="楷体"/>
          <w:szCs w:val="21"/>
        </w:rPr>
      </w:pPr>
      <w:r>
        <w:rPr>
          <w:rFonts w:hint="eastAsia" w:ascii="Times New Roman" w:hAnsi="Times New Roman" w:eastAsia="楷体"/>
          <w:szCs w:val="21"/>
          <w:lang w:eastAsia="zh-CN"/>
        </w:rPr>
        <w:t>相关成果落地重庆等地</w:t>
      </w:r>
      <w:bookmarkStart w:id="5" w:name="_GoBack"/>
      <w:bookmarkEnd w:id="5"/>
      <w:r>
        <w:rPr>
          <w:rFonts w:hint="eastAsia" w:ascii="Times New Roman" w:hAnsi="Times New Roman" w:eastAsia="楷体"/>
          <w:szCs w:val="21"/>
          <w:lang w:eastAsia="zh-CN"/>
        </w:rPr>
        <w:t>撂荒耕地治理实践，所形成的分区分类治理路径为地方耕地管控、梯田宜机化整治提供重要决策依据。团队还培养了一批梯田保护与可持续利用领域的科研骨干，为推动我国梯田系统有效保护与可持</w:t>
      </w:r>
      <w:r>
        <w:rPr>
          <w:rFonts w:hint="eastAsia" w:ascii="Times New Roman" w:hAnsi="Times New Roman" w:eastAsia="楷体"/>
          <w:szCs w:val="21"/>
        </w:rPr>
        <w:t>续管理提供了坚实的科技支撑和决策依据。</w:t>
      </w:r>
    </w:p>
    <w:p w14:paraId="23945BB7">
      <w:pPr>
        <w:spacing w:line="240" w:lineRule="auto"/>
        <w:ind w:firstLine="420" w:firstLineChars="200"/>
        <w:rPr>
          <w:rFonts w:hint="eastAsia" w:ascii="Times New Roman" w:hAnsi="Times New Roman" w:eastAsia="楷体"/>
          <w:szCs w:val="21"/>
        </w:rPr>
      </w:pPr>
    </w:p>
    <w:p w14:paraId="795C4CD8">
      <w:pPr>
        <w:spacing w:line="240" w:lineRule="auto"/>
        <w:ind w:firstLine="420" w:firstLineChars="200"/>
        <w:rPr>
          <w:rFonts w:ascii="Times New Roman" w:hAnsi="Times New Roman" w:eastAsia="楷体"/>
          <w:szCs w:val="21"/>
        </w:rPr>
      </w:pPr>
    </w:p>
    <w:p w14:paraId="64FCF8F2">
      <w:pPr>
        <w:jc w:val="center"/>
        <w:rPr>
          <w:rFonts w:ascii="Times New Roman" w:hAnsi="Times New Roman" w:eastAsia="楷体"/>
          <w:szCs w:val="21"/>
        </w:rPr>
      </w:pPr>
    </w:p>
    <w:p w14:paraId="57E74D21">
      <w:pPr>
        <w:jc w:val="center"/>
        <w:rPr>
          <w:rFonts w:ascii="Times New Roman" w:hAnsi="Times New Roman" w:eastAsia="楷体"/>
          <w:szCs w:val="21"/>
        </w:rPr>
      </w:pPr>
    </w:p>
    <w:p w14:paraId="5F86D66F">
      <w:pPr>
        <w:jc w:val="center"/>
        <w:rPr>
          <w:rFonts w:ascii="Times New Roman" w:hAnsi="Times New Roman" w:eastAsia="楷体"/>
          <w:szCs w:val="21"/>
        </w:rPr>
      </w:pPr>
    </w:p>
    <w:p w14:paraId="52DD4C4C">
      <w:pPr>
        <w:jc w:val="center"/>
        <w:rPr>
          <w:rFonts w:ascii="Times New Roman" w:hAnsi="Times New Roman" w:eastAsia="楷体"/>
          <w:szCs w:val="21"/>
        </w:rPr>
      </w:pPr>
    </w:p>
    <w:p w14:paraId="0EC4CFA3">
      <w:pPr>
        <w:jc w:val="center"/>
        <w:rPr>
          <w:rFonts w:ascii="Times New Roman" w:hAnsi="Times New Roman" w:eastAsia="楷体"/>
          <w:szCs w:val="21"/>
        </w:rPr>
      </w:pPr>
    </w:p>
    <w:p w14:paraId="2F5E5364">
      <w:pPr>
        <w:jc w:val="center"/>
        <w:rPr>
          <w:rFonts w:ascii="Times New Roman" w:hAnsi="Times New Roman" w:eastAsia="楷体"/>
          <w:szCs w:val="21"/>
        </w:rPr>
      </w:pPr>
    </w:p>
    <w:p w14:paraId="0FAE3553">
      <w:pPr>
        <w:rPr>
          <w:rFonts w:ascii="Times New Roman" w:hAnsi="Times New Roman" w:eastAsia="黑体"/>
          <w:bCs/>
          <w:sz w:val="32"/>
        </w:rPr>
      </w:pPr>
      <w:r>
        <w:rPr>
          <w:rFonts w:ascii="Times New Roman" w:hAnsi="Times New Roman" w:eastAsia="黑体"/>
          <w:bCs/>
          <w:sz w:val="32"/>
        </w:rPr>
        <w:br w:type="page"/>
      </w:r>
    </w:p>
    <w:p w14:paraId="6F0F3D8F">
      <w:pPr>
        <w:jc w:val="center"/>
        <w:rPr>
          <w:rFonts w:ascii="Times New Roman" w:hAnsi="Times New Roman" w:eastAsia="黑体"/>
          <w:bCs/>
          <w:sz w:val="32"/>
        </w:rPr>
      </w:pPr>
      <w:r>
        <w:rPr>
          <w:rFonts w:hint="eastAsia" w:ascii="Times New Roman" w:hAnsi="Times New Roman" w:eastAsia="黑体"/>
          <w:bCs/>
          <w:sz w:val="32"/>
          <w:lang w:val="en-US" w:eastAsia="zh-CN"/>
        </w:rPr>
        <w:t>四</w:t>
      </w:r>
      <w:r>
        <w:rPr>
          <w:rFonts w:ascii="Times New Roman" w:hAnsi="Times New Roman" w:eastAsia="黑体"/>
          <w:bCs/>
          <w:sz w:val="32"/>
        </w:rPr>
        <w:t>、客观评价</w:t>
      </w:r>
    </w:p>
    <w:p w14:paraId="36B97968">
      <w:pPr>
        <w:jc w:val="center"/>
        <w:rPr>
          <w:rFonts w:ascii="Times New Roman" w:hAnsi="Times New Roman" w:eastAsia="黑体"/>
          <w:b/>
          <w:bCs/>
          <w:sz w:val="32"/>
        </w:rPr>
      </w:pPr>
      <w:r>
        <w:rPr>
          <w:rFonts w:ascii="Times New Roman" w:hAnsi="Times New Roman" w:eastAsia="黑体"/>
          <w:szCs w:val="21"/>
        </w:rPr>
        <w:t>（限2页）</w:t>
      </w:r>
    </w:p>
    <w:p w14:paraId="0F0ED1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1"/>
          <w:szCs w:val="24"/>
          <w:highlight w:val="none"/>
          <w:lang w:val="en-US" w:eastAsia="zh-CN"/>
        </w:rPr>
      </w:pPr>
      <w:r>
        <w:rPr>
          <w:rFonts w:hint="eastAsia" w:ascii="Times New Roman" w:hAnsi="Times New Roman" w:cs="Times New Roman"/>
          <w:b/>
          <w:bCs/>
          <w:sz w:val="21"/>
          <w:szCs w:val="24"/>
          <w:highlight w:val="none"/>
          <w:lang w:val="en-US" w:eastAsia="zh-CN"/>
        </w:rPr>
        <w:t>1. 总体评价</w:t>
      </w:r>
    </w:p>
    <w:p w14:paraId="7F6EB010">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本项目面向国家粮食安全保障与农业文化遗产保护重大战略需求，围绕梯田撂荒监测识别难、驱动机理不清、风险治理缺乏手段的行业难题，构建了“规律刻画</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机理解析</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风险调控”完整创新链，建立全国梯田空间大数据库，首创“自然</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社会</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制度”三维框架下梯田撂荒演化理论，研发梯田撂荒风险预警与“识别</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诊断</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分区”一体化智能决策支持系统，形成梯田撂荒演化理论创新与风险精准调控关键技术体系。项目突破传统耕地撂荒研究偏重单点调查、缺少全国尺度成套技术工具的局限，开创“遥感监测</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地面调查</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模型模拟</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实践落地” 多维度耦合的梯田保护研究范式，实现梯田撂荒从现象解析、成因定量诊断到分区分类治理的全链条技术突破，填补了我国大尺度梯田撂荒成套理论方法与决策工具的空白。成果产出论文 88 篇（SCI/SSCI 收录 42 篇）、专著 2 部、国家发明专利 2 项，多份政策咨询报告获中央与省部级领导批示；相关技术方案与分区分类治理路径已在重庆酉阳等多地落地实践，支撑地方撂荒地复耕与梯田宜机化整治工作，为全国梯田系统保护与可持续管理提供坚实科技支撑，取得显著社会、经济与生态效益，同时培养了一批梯田保护与可持续利用领域科研骨干。团队相关研究成果先后获得高等学校科学研究优秀成果奖、江西省自然科学奖等多项省部级科技奖励。</w:t>
      </w:r>
    </w:p>
    <w:p w14:paraId="3111AE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1"/>
          <w:szCs w:val="24"/>
          <w:highlight w:val="none"/>
          <w:lang w:val="en-US" w:eastAsia="zh-CN"/>
        </w:rPr>
      </w:pPr>
      <w:r>
        <w:rPr>
          <w:rFonts w:hint="eastAsia" w:ascii="Times New Roman" w:hAnsi="Times New Roman" w:cs="Times New Roman"/>
          <w:b/>
          <w:bCs/>
          <w:sz w:val="21"/>
          <w:szCs w:val="24"/>
          <w:highlight w:val="none"/>
          <w:lang w:val="en-US" w:eastAsia="zh-CN"/>
        </w:rPr>
        <w:t>2. 政府部门评价</w:t>
      </w:r>
    </w:p>
    <w:p w14:paraId="44F62CC8">
      <w:pPr>
        <w:spacing w:line="240" w:lineRule="auto"/>
        <w:ind w:firstLine="422" w:firstLineChars="200"/>
        <w:rPr>
          <w:rFonts w:hint="default" w:ascii="Times New Roman" w:hAnsi="Times New Roman" w:eastAsia="宋体" w:cs="Times New Roman"/>
          <w:b/>
          <w:bCs/>
          <w:sz w:val="21"/>
          <w:szCs w:val="24"/>
          <w:highlight w:val="none"/>
          <w:lang w:val="en-US" w:eastAsia="zh-CN"/>
        </w:rPr>
      </w:pPr>
      <w:r>
        <w:rPr>
          <w:rFonts w:hint="default" w:ascii="Times New Roman" w:hAnsi="Times New Roman" w:eastAsia="宋体" w:cs="Times New Roman"/>
          <w:b/>
          <w:bCs/>
          <w:sz w:val="21"/>
          <w:szCs w:val="24"/>
          <w:highlight w:val="none"/>
          <w:lang w:eastAsia="zh-CN"/>
        </w:rPr>
        <w:t>（</w:t>
      </w:r>
      <w:r>
        <w:rPr>
          <w:rFonts w:hint="eastAsia" w:ascii="Times New Roman" w:hAnsi="Times New Roman" w:cs="Times New Roman"/>
          <w:b/>
          <w:bCs/>
          <w:sz w:val="21"/>
          <w:szCs w:val="24"/>
          <w:highlight w:val="none"/>
          <w:lang w:val="en-US" w:eastAsia="zh-CN"/>
        </w:rPr>
        <w:t>1</w:t>
      </w:r>
      <w:r>
        <w:rPr>
          <w:rFonts w:hint="default" w:ascii="Times New Roman" w:hAnsi="Times New Roman" w:eastAsia="宋体" w:cs="Times New Roman"/>
          <w:b/>
          <w:bCs/>
          <w:sz w:val="21"/>
          <w:szCs w:val="24"/>
          <w:highlight w:val="none"/>
          <w:lang w:val="en-US" w:eastAsia="zh-CN"/>
        </w:rPr>
        <w:t>）</w:t>
      </w:r>
      <w:r>
        <w:rPr>
          <w:rFonts w:hint="eastAsia" w:ascii="Times New Roman" w:hAnsi="Times New Roman" w:cs="Times New Roman"/>
          <w:b/>
          <w:bCs/>
          <w:sz w:val="21"/>
          <w:szCs w:val="24"/>
          <w:highlight w:val="none"/>
          <w:lang w:val="en-US" w:eastAsia="zh-CN"/>
        </w:rPr>
        <w:t>重庆市测绘科学技术研究院</w:t>
      </w:r>
    </w:p>
    <w:p w14:paraId="579F933F">
      <w:pPr>
        <w:spacing w:line="240" w:lineRule="auto"/>
        <w:ind w:firstLine="420" w:firstLineChars="200"/>
        <w:rPr>
          <w:rFonts w:hint="eastAsia" w:ascii="Times New Roman" w:hAnsi="Times New Roman" w:cs="Times New Roman"/>
          <w:sz w:val="21"/>
          <w:szCs w:val="24"/>
          <w:highlight w:val="none"/>
          <w:lang w:eastAsia="zh-CN"/>
        </w:rPr>
      </w:pPr>
      <w:r>
        <w:rPr>
          <w:rFonts w:hint="default" w:ascii="Times New Roman" w:hAnsi="Times New Roman" w:eastAsia="宋体" w:cs="Times New Roman"/>
          <w:sz w:val="21"/>
          <w:szCs w:val="24"/>
          <w:highlight w:val="none"/>
        </w:rPr>
        <w:t>项目撂荒地精准识别与复耕潜力评估相关技术，结合国土调查、遥感与地面核查信息，构建丘陵山区撂荒耕地动态监测方法与复耕潜力评价体系，厘清撂荒地复耕障碍因素，形成复耕利用与占补平衡协同推进治理方案，有效提升撂荒耕地识别精度，优化补充耕地空间配置，为重庆市撂荒地治理提供可复制可推广技术方案。</w:t>
      </w:r>
    </w:p>
    <w:p w14:paraId="5A1C2A4E">
      <w:pPr>
        <w:spacing w:line="240" w:lineRule="auto"/>
        <w:ind w:firstLine="422" w:firstLineChars="200"/>
        <w:rPr>
          <w:rFonts w:hint="default" w:ascii="Times New Roman" w:hAnsi="Times New Roman" w:eastAsia="宋体" w:cs="Times New Roman"/>
          <w:b/>
          <w:bCs/>
          <w:sz w:val="21"/>
          <w:szCs w:val="24"/>
          <w:highlight w:val="none"/>
          <w:lang w:val="en-US" w:eastAsia="zh-CN"/>
        </w:rPr>
      </w:pPr>
      <w:r>
        <w:rPr>
          <w:rFonts w:hint="default" w:ascii="Times New Roman" w:hAnsi="Times New Roman" w:eastAsia="宋体" w:cs="Times New Roman"/>
          <w:b/>
          <w:bCs/>
          <w:sz w:val="21"/>
          <w:szCs w:val="24"/>
          <w:highlight w:val="none"/>
          <w:lang w:eastAsia="zh-CN"/>
        </w:rPr>
        <w:t>（</w:t>
      </w:r>
      <w:r>
        <w:rPr>
          <w:rFonts w:hint="eastAsia" w:ascii="Times New Roman" w:hAnsi="Times New Roman" w:cs="Times New Roman"/>
          <w:b/>
          <w:bCs/>
          <w:sz w:val="21"/>
          <w:szCs w:val="24"/>
          <w:highlight w:val="none"/>
          <w:lang w:val="en-US" w:eastAsia="zh-CN"/>
        </w:rPr>
        <w:t>2</w:t>
      </w:r>
      <w:r>
        <w:rPr>
          <w:rFonts w:hint="default" w:ascii="Times New Roman" w:hAnsi="Times New Roman" w:eastAsia="宋体" w:cs="Times New Roman"/>
          <w:b/>
          <w:bCs/>
          <w:sz w:val="21"/>
          <w:szCs w:val="24"/>
          <w:highlight w:val="none"/>
          <w:lang w:val="en-US" w:eastAsia="zh-CN"/>
        </w:rPr>
        <w:t>）</w:t>
      </w:r>
      <w:r>
        <w:rPr>
          <w:rFonts w:hint="default" w:ascii="Times New Roman" w:hAnsi="Times New Roman" w:eastAsia="宋体" w:cs="Times New Roman"/>
          <w:b/>
          <w:bCs/>
          <w:sz w:val="21"/>
          <w:szCs w:val="24"/>
          <w:highlight w:val="none"/>
        </w:rPr>
        <w:t>重庆市规划和自然资源调查监测院</w:t>
      </w:r>
    </w:p>
    <w:p w14:paraId="4BAB54C1">
      <w:pPr>
        <w:spacing w:line="240" w:lineRule="auto"/>
        <w:ind w:firstLine="420" w:firstLineChars="200"/>
        <w:rPr>
          <w:rFonts w:hint="default" w:ascii="Times New Roman" w:hAnsi="Times New Roman" w:eastAsia="宋体" w:cs="Times New Roman"/>
          <w:sz w:val="21"/>
          <w:szCs w:val="24"/>
          <w:highlight w:val="none"/>
        </w:rPr>
      </w:pPr>
      <w:r>
        <w:rPr>
          <w:rFonts w:hint="default" w:ascii="Times New Roman" w:hAnsi="Times New Roman" w:eastAsia="宋体" w:cs="Times New Roman"/>
          <w:sz w:val="21"/>
          <w:szCs w:val="24"/>
          <w:highlight w:val="none"/>
        </w:rPr>
        <w:t>项目梯田宜机化整治与分类调控技术体系针对丘陵山区梯田破碎、农机通行困难、撂荒高发等现实痛点，集成田块整形、机耕道排灌配套、野生动物致害协同防控等措施，差异化开展梯田治理，在酉阳县落地应用，有效提升田块连片度与机械化作业水平，降低撂荒治理管护成本，推动土地流转与粮油稳产增效，为三峡库区、武陵山区梯田撂荒综合整治提供实用技术模式。</w:t>
      </w:r>
    </w:p>
    <w:p w14:paraId="51706368">
      <w:pPr>
        <w:spacing w:line="240" w:lineRule="auto"/>
        <w:ind w:firstLine="420" w:firstLineChars="200"/>
        <w:rPr>
          <w:rFonts w:hint="default" w:ascii="Times New Roman" w:hAnsi="Times New Roman" w:eastAsia="宋体" w:cs="Times New Roman"/>
          <w:sz w:val="21"/>
          <w:szCs w:val="24"/>
          <w:highlight w:val="none"/>
        </w:rPr>
      </w:pPr>
    </w:p>
    <w:p w14:paraId="30AFFB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1"/>
          <w:szCs w:val="24"/>
          <w:highlight w:val="none"/>
          <w:lang w:val="en-US" w:eastAsia="zh-CN"/>
        </w:rPr>
      </w:pPr>
      <w:r>
        <w:rPr>
          <w:rFonts w:hint="eastAsia" w:ascii="Times New Roman" w:hAnsi="Times New Roman" w:cs="Times New Roman"/>
          <w:b/>
          <w:bCs/>
          <w:sz w:val="21"/>
          <w:szCs w:val="24"/>
          <w:highlight w:val="none"/>
          <w:lang w:val="en-US" w:eastAsia="zh-CN"/>
        </w:rPr>
        <w:t>3. 国内外同行评价</w:t>
      </w:r>
    </w:p>
    <w:p w14:paraId="188E70C4">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 xml:space="preserve">项目发表的系列论文被 </w:t>
      </w:r>
      <w:r>
        <w:rPr>
          <w:rFonts w:hint="eastAsia" w:ascii="Times New Roman" w:hAnsi="Times New Roman" w:cs="Times New Roman"/>
          <w:sz w:val="21"/>
          <w:szCs w:val="24"/>
          <w:highlight w:val="none"/>
          <w:lang w:val="en-US" w:eastAsia="zh-CN"/>
        </w:rPr>
        <w:t>Land Use Policy</w:t>
      </w:r>
      <w:r>
        <w:rPr>
          <w:rFonts w:hint="eastAsia" w:ascii="Times New Roman" w:hAnsi="Times New Roman" w:cs="Times New Roman"/>
          <w:sz w:val="21"/>
          <w:szCs w:val="24"/>
          <w:highlight w:val="none"/>
        </w:rPr>
        <w:t>、</w:t>
      </w:r>
      <w:r>
        <w:rPr>
          <w:rFonts w:hint="eastAsia" w:ascii="Times New Roman" w:hAnsi="Times New Roman" w:cs="Times New Roman"/>
          <w:sz w:val="21"/>
          <w:szCs w:val="24"/>
          <w:highlight w:val="none"/>
          <w:lang w:val="en-US" w:eastAsia="zh-CN"/>
        </w:rPr>
        <w:t>地理学报</w:t>
      </w:r>
      <w:r>
        <w:rPr>
          <w:rFonts w:hint="eastAsia" w:ascii="Times New Roman" w:hAnsi="Times New Roman" w:cs="Times New Roman"/>
          <w:sz w:val="21"/>
          <w:szCs w:val="24"/>
          <w:highlight w:val="none"/>
        </w:rPr>
        <w:t>等</w:t>
      </w:r>
      <w:r>
        <w:rPr>
          <w:rFonts w:hint="eastAsia" w:ascii="Times New Roman" w:hAnsi="Times New Roman" w:cs="Times New Roman"/>
          <w:sz w:val="21"/>
          <w:szCs w:val="24"/>
          <w:highlight w:val="none"/>
          <w:lang w:val="en-US" w:eastAsia="zh-CN"/>
        </w:rPr>
        <w:t>国内外</w:t>
      </w:r>
      <w:r>
        <w:rPr>
          <w:rFonts w:hint="eastAsia" w:ascii="Times New Roman" w:hAnsi="Times New Roman" w:cs="Times New Roman"/>
          <w:sz w:val="21"/>
          <w:szCs w:val="24"/>
          <w:highlight w:val="none"/>
        </w:rPr>
        <w:t>权威期刊广泛引用，研究提出的梯田撂荒时空识别方法、多源遥感协同监测思路、撂荒风险分区治理思路，为全球山地梯田保护、坡耕地可持续利用相关研究提供中国案例与方法参考。</w:t>
      </w:r>
    </w:p>
    <w:p w14:paraId="1C30EF34">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（1）发展中国家科学院院士刘彦随</w:t>
      </w:r>
      <w:r>
        <w:rPr>
          <w:rFonts w:hint="eastAsia" w:ascii="Times New Roman" w:hAnsi="Times New Roman" w:cs="Times New Roman"/>
          <w:sz w:val="21"/>
          <w:szCs w:val="24"/>
          <w:highlight w:val="none"/>
          <w:lang w:val="en-US" w:eastAsia="zh-CN"/>
        </w:rPr>
        <w:t>发文</w:t>
      </w:r>
      <w:r>
        <w:rPr>
          <w:rFonts w:hint="eastAsia" w:ascii="Times New Roman" w:hAnsi="Times New Roman" w:cs="Times New Roman"/>
          <w:sz w:val="21"/>
          <w:szCs w:val="24"/>
          <w:highlight w:val="none"/>
        </w:rPr>
        <w:t>肯定本项目西部山区农田弃耕相关研究结论，认为该成果对理解中国农村可持续发展转型具有重要理论价值</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lang w:val="en-US" w:eastAsia="zh-CN"/>
        </w:rPr>
        <w:t>Land Use Policy, 2020</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3ACB845A">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（2）北京师范大学刘宝元教授发论文引用本项目梯田土壤侵蚀与保持能力研究结论，证实梯田通过平整坡面、缩短坡长能够有效减缓坡地土壤侵蚀，为本项目梯田生态效应评估提供交叉印证</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Geoderma</w:t>
      </w:r>
      <w:r>
        <w:rPr>
          <w:rFonts w:hint="eastAsia" w:ascii="Times New Roman" w:hAnsi="Times New Roman" w:cs="Times New Roman"/>
          <w:sz w:val="21"/>
          <w:szCs w:val="24"/>
          <w:highlight w:val="none"/>
          <w:lang w:val="en-US" w:eastAsia="zh-CN"/>
        </w:rPr>
        <w:t>, 2024</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50704F97">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（3）中国科学院地理科学与资源研究所葛全胜研究员指出该研究揭示的国家尺度撂荒宏观格局得到进一步验证，为厘清我国耕地撂荒空间分异特征提供关键依据</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lang w:val="en-US" w:eastAsia="zh-CN"/>
        </w:rPr>
        <w:t>地理学报, 2019</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13219AC4">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（4）清华大学徐冰教授</w:t>
      </w:r>
      <w:r>
        <w:rPr>
          <w:rFonts w:hint="eastAsia" w:ascii="Times New Roman" w:hAnsi="Times New Roman" w:cs="Times New Roman"/>
          <w:sz w:val="21"/>
          <w:szCs w:val="24"/>
          <w:highlight w:val="none"/>
          <w:lang w:val="en-US" w:eastAsia="zh-CN"/>
        </w:rPr>
        <w:t>发文</w:t>
      </w:r>
      <w:r>
        <w:rPr>
          <w:rFonts w:hint="eastAsia" w:ascii="Times New Roman" w:hAnsi="Times New Roman" w:cs="Times New Roman"/>
          <w:sz w:val="21"/>
          <w:szCs w:val="24"/>
          <w:highlight w:val="none"/>
        </w:rPr>
        <w:t>引用本项目山区耕地弃耕驱动因素成果，认同农村人口迁移、农业劳动力减少与人口老龄化是我国耕地撂荒的主导驱动因子，印证项目宏观</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微观耦合驱动机理分析结论</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Earth System Science Data</w:t>
      </w:r>
      <w:r>
        <w:rPr>
          <w:rFonts w:hint="eastAsia" w:ascii="Times New Roman" w:hAnsi="Times New Roman" w:cs="Times New Roman"/>
          <w:sz w:val="21"/>
          <w:szCs w:val="24"/>
          <w:highlight w:val="none"/>
          <w:lang w:val="en-US" w:eastAsia="zh-CN"/>
        </w:rPr>
        <w:t>, 2024</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11133D89">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（5）清华大学俞乐副教授团队发文引用本项目丘陵山区弃耕行为机制，指出中国是全球耕地弃耕热点区域，山区、基础设施薄弱地带为撂荒集中发生区，与本项目空间格局研究结论高度吻合</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Resources, Conservation &amp; Recycling</w:t>
      </w:r>
      <w:r>
        <w:rPr>
          <w:rFonts w:hint="eastAsia" w:ascii="Times New Roman" w:hAnsi="Times New Roman" w:cs="Times New Roman"/>
          <w:sz w:val="21"/>
          <w:szCs w:val="24"/>
          <w:highlight w:val="none"/>
          <w:lang w:val="en-US" w:eastAsia="zh-CN"/>
        </w:rPr>
        <w:t>, 2025</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3D1685E4">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（6）中国科学院地理科学与资源研究所刘玉洁研究员引用项目成果，认可自然资源禀赋、农业生产条件是山区耕地撂荒的重要制约因素，为本项目“自然</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社会</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制度”理论框架提供学术佐证</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地理学报</w:t>
      </w:r>
      <w:r>
        <w:rPr>
          <w:rFonts w:hint="eastAsia" w:ascii="Times New Roman" w:hAnsi="Times New Roman" w:cs="Times New Roman"/>
          <w:sz w:val="21"/>
          <w:szCs w:val="24"/>
          <w:highlight w:val="none"/>
          <w:lang w:val="en-US" w:eastAsia="zh-CN"/>
        </w:rPr>
        <w:t>, 2023</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6AFA1F91">
      <w:pPr>
        <w:spacing w:line="240" w:lineRule="auto"/>
        <w:ind w:firstLine="420" w:firstLineChars="200"/>
        <w:rPr>
          <w:rFonts w:hint="eastAsia" w:ascii="Times New Roman" w:hAnsi="Times New Roman" w:cs="Times New Roman"/>
          <w:sz w:val="21"/>
          <w:szCs w:val="24"/>
          <w:highlight w:val="none"/>
        </w:rPr>
      </w:pPr>
      <w:r>
        <w:rPr>
          <w:rFonts w:hint="eastAsia" w:ascii="Times New Roman" w:hAnsi="Times New Roman" w:cs="Times New Roman"/>
          <w:sz w:val="21"/>
          <w:szCs w:val="24"/>
          <w:highlight w:val="none"/>
        </w:rPr>
        <w:t>（7）西安交通大学黎洁教授引用劳动力转移对梯田撂荒影响的研究成果，证实非农就业机会变化会改变农户土地依赖程度与农业劳动力投入，进而影响耕地撂荒态势，进一步支撑项目农户尺度撂荒决策理论</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自然资源学报</w:t>
      </w:r>
      <w:r>
        <w:rPr>
          <w:rFonts w:hint="eastAsia" w:ascii="Times New Roman" w:hAnsi="Times New Roman" w:cs="Times New Roman"/>
          <w:sz w:val="21"/>
          <w:szCs w:val="24"/>
          <w:highlight w:val="none"/>
          <w:lang w:val="en-US" w:eastAsia="zh-CN"/>
        </w:rPr>
        <w:t>, 2023</w:t>
      </w:r>
      <w:r>
        <w:rPr>
          <w:rFonts w:hint="eastAsia" w:ascii="Times New Roman" w:hAnsi="Times New Roman" w:cs="Times New Roman"/>
          <w:sz w:val="21"/>
          <w:szCs w:val="24"/>
          <w:highlight w:val="none"/>
          <w:lang w:eastAsia="zh-CN"/>
        </w:rPr>
        <w:t>）</w:t>
      </w:r>
      <w:r>
        <w:rPr>
          <w:rFonts w:hint="eastAsia" w:ascii="Times New Roman" w:hAnsi="Times New Roman" w:cs="Times New Roman"/>
          <w:sz w:val="21"/>
          <w:szCs w:val="24"/>
          <w:highlight w:val="none"/>
        </w:rPr>
        <w:t>。</w:t>
      </w:r>
    </w:p>
    <w:p w14:paraId="0E3D1AA6">
      <w:pPr>
        <w:spacing w:line="240" w:lineRule="auto"/>
        <w:ind w:firstLine="420" w:firstLineChars="200"/>
        <w:rPr>
          <w:rFonts w:ascii="Times New Roman" w:hAnsi="Times New Roman" w:eastAsia="黑体"/>
          <w:b/>
          <w:bCs/>
          <w:sz w:val="32"/>
        </w:rPr>
      </w:pPr>
      <w:r>
        <w:rPr>
          <w:rFonts w:hint="eastAsia" w:ascii="Times New Roman" w:hAnsi="Times New Roman" w:cs="Times New Roman"/>
          <w:sz w:val="21"/>
          <w:szCs w:val="24"/>
          <w:highlight w:val="none"/>
        </w:rPr>
        <w:t>（8）中国科学院生态环境研究中心卫伟研究员引用黄土高原梯田数据集，指出黄土高原坡耕地水蚀风险突出，水土流失生态退化压力显著，与本项目梯田生态风险评估研究相互呼应</w:t>
      </w:r>
      <w:r>
        <w:rPr>
          <w:rFonts w:hint="eastAsia" w:ascii="Times New Roman" w:hAnsi="Times New Roman" w:cs="Times New Roman"/>
          <w:sz w:val="21"/>
          <w:szCs w:val="24"/>
          <w:highlight w:val="none"/>
          <w:lang w:val="en-US" w:eastAsia="zh-CN"/>
        </w:rPr>
        <w:t>（</w:t>
      </w:r>
      <w:r>
        <w:rPr>
          <w:rFonts w:hint="eastAsia" w:ascii="Times New Roman" w:hAnsi="Times New Roman" w:cs="Times New Roman"/>
          <w:sz w:val="21"/>
          <w:szCs w:val="24"/>
          <w:highlight w:val="none"/>
        </w:rPr>
        <w:t>Geography and Sustainabilit</w:t>
      </w:r>
      <w:r>
        <w:rPr>
          <w:rFonts w:hint="eastAsia" w:ascii="Times New Roman" w:hAnsi="Times New Roman" w:cs="Times New Roman"/>
          <w:sz w:val="21"/>
          <w:szCs w:val="24"/>
          <w:highlight w:val="none"/>
          <w:lang w:val="en-US" w:eastAsia="zh-CN"/>
        </w:rPr>
        <w:t>y, 2025）</w:t>
      </w:r>
      <w:r>
        <w:rPr>
          <w:rFonts w:hint="eastAsia" w:ascii="Times New Roman" w:hAnsi="Times New Roman" w:cs="Times New Roman"/>
          <w:sz w:val="21"/>
          <w:szCs w:val="24"/>
          <w:highlight w:val="none"/>
        </w:rPr>
        <w:t>。</w:t>
      </w:r>
    </w:p>
    <w:p w14:paraId="59340973">
      <w:pPr>
        <w:rPr>
          <w:rFonts w:ascii="Times New Roman" w:hAnsi="Times New Roman" w:eastAsia="黑体"/>
          <w:b/>
          <w:bCs/>
          <w:sz w:val="32"/>
        </w:rPr>
      </w:pPr>
      <w:r>
        <w:rPr>
          <w:rFonts w:ascii="Times New Roman" w:hAnsi="Times New Roman" w:eastAsia="黑体"/>
          <w:b/>
          <w:bCs/>
          <w:sz w:val="32"/>
        </w:rPr>
        <w:br w:type="page"/>
      </w:r>
    </w:p>
    <w:p w14:paraId="4C2A17F2">
      <w:pPr>
        <w:numPr>
          <w:ilvl w:val="0"/>
          <w:numId w:val="0"/>
        </w:numPr>
        <w:spacing w:after="156" w:afterLines="50"/>
        <w:jc w:val="center"/>
        <w:rPr>
          <w:rFonts w:ascii="Times New Roman" w:hAnsi="Times New Roman" w:eastAsia="黑体"/>
          <w:sz w:val="32"/>
          <w:szCs w:val="32"/>
        </w:rPr>
      </w:pPr>
      <w:bookmarkStart w:id="4" w:name="award"/>
      <w:r>
        <w:rPr>
          <w:rFonts w:hint="eastAsia" w:ascii="Times New Roman" w:hAnsi="Times New Roman" w:eastAsia="黑体"/>
          <w:sz w:val="32"/>
          <w:szCs w:val="32"/>
          <w:lang w:val="en-US" w:eastAsia="zh-CN"/>
        </w:rPr>
        <w:t>五、</w:t>
      </w:r>
      <w:r>
        <w:rPr>
          <w:rFonts w:ascii="Times New Roman" w:hAnsi="Times New Roman" w:eastAsia="黑体"/>
          <w:sz w:val="32"/>
          <w:szCs w:val="32"/>
        </w:rPr>
        <w:t>主要知识产权和标准规范等目录（不超过10项）</w:t>
      </w:r>
    </w:p>
    <w:tbl>
      <w:tblPr>
        <w:tblStyle w:val="10"/>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951"/>
        <w:gridCol w:w="917"/>
        <w:gridCol w:w="995"/>
        <w:gridCol w:w="1134"/>
        <w:gridCol w:w="850"/>
        <w:gridCol w:w="851"/>
        <w:gridCol w:w="1183"/>
      </w:tblGrid>
      <w:tr w14:paraId="4DE4A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cBorders>
            <w:vAlign w:val="center"/>
          </w:tcPr>
          <w:p w14:paraId="05E58113">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知识产权</w:t>
            </w:r>
          </w:p>
          <w:p w14:paraId="5095676E">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（标准）类别</w:t>
            </w:r>
          </w:p>
        </w:tc>
        <w:tc>
          <w:tcPr>
            <w:tcW w:w="1260" w:type="dxa"/>
            <w:tcBorders>
              <w:top w:val="single" w:color="auto" w:sz="8" w:space="0"/>
              <w:left w:val="single" w:color="auto" w:sz="4" w:space="0"/>
              <w:bottom w:val="single" w:color="auto" w:sz="4" w:space="0"/>
              <w:right w:val="single" w:color="auto" w:sz="4" w:space="0"/>
            </w:tcBorders>
            <w:vAlign w:val="center"/>
          </w:tcPr>
          <w:p w14:paraId="0EADC347">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知识产权（标准）</w:t>
            </w:r>
          </w:p>
          <w:p w14:paraId="3B2925E1">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具体名称</w:t>
            </w:r>
          </w:p>
        </w:tc>
        <w:tc>
          <w:tcPr>
            <w:tcW w:w="951" w:type="dxa"/>
            <w:tcBorders>
              <w:top w:val="single" w:color="auto" w:sz="8" w:space="0"/>
              <w:left w:val="single" w:color="auto" w:sz="4" w:space="0"/>
              <w:bottom w:val="single" w:color="auto" w:sz="4" w:space="0"/>
              <w:right w:val="single" w:color="auto" w:sz="4" w:space="0"/>
            </w:tcBorders>
            <w:vAlign w:val="center"/>
          </w:tcPr>
          <w:p w14:paraId="349EED39">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国家</w:t>
            </w:r>
          </w:p>
          <w:p w14:paraId="4FFF7E4B">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（地区）</w:t>
            </w:r>
          </w:p>
        </w:tc>
        <w:tc>
          <w:tcPr>
            <w:tcW w:w="917" w:type="dxa"/>
            <w:tcBorders>
              <w:top w:val="single" w:color="auto" w:sz="8" w:space="0"/>
              <w:left w:val="single" w:color="auto" w:sz="4" w:space="0"/>
              <w:bottom w:val="single" w:color="auto" w:sz="4" w:space="0"/>
              <w:right w:val="single" w:color="auto" w:sz="4" w:space="0"/>
            </w:tcBorders>
            <w:vAlign w:val="center"/>
          </w:tcPr>
          <w:p w14:paraId="179CF43E">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授权号（标准编号）</w:t>
            </w:r>
          </w:p>
        </w:tc>
        <w:tc>
          <w:tcPr>
            <w:tcW w:w="995" w:type="dxa"/>
            <w:tcBorders>
              <w:top w:val="single" w:color="auto" w:sz="8" w:space="0"/>
              <w:left w:val="single" w:color="auto" w:sz="4" w:space="0"/>
              <w:bottom w:val="single" w:color="auto" w:sz="4" w:space="0"/>
              <w:right w:val="single" w:color="auto" w:sz="4" w:space="0"/>
            </w:tcBorders>
            <w:vAlign w:val="center"/>
          </w:tcPr>
          <w:p w14:paraId="7B529EB3">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授权（标准发布）日期</w:t>
            </w:r>
          </w:p>
        </w:tc>
        <w:tc>
          <w:tcPr>
            <w:tcW w:w="1134" w:type="dxa"/>
            <w:tcBorders>
              <w:top w:val="single" w:color="auto" w:sz="8" w:space="0"/>
              <w:left w:val="single" w:color="auto" w:sz="4" w:space="0"/>
              <w:bottom w:val="single" w:color="auto" w:sz="4" w:space="0"/>
              <w:right w:val="single" w:color="auto" w:sz="4" w:space="0"/>
            </w:tcBorders>
            <w:vAlign w:val="center"/>
          </w:tcPr>
          <w:p w14:paraId="2B9F315D">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证书编号</w:t>
            </w:r>
          </w:p>
          <w:p w14:paraId="15358BD6">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（标准批准发布</w:t>
            </w:r>
          </w:p>
          <w:p w14:paraId="42425C6C">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部门）</w:t>
            </w:r>
          </w:p>
        </w:tc>
        <w:tc>
          <w:tcPr>
            <w:tcW w:w="850" w:type="dxa"/>
            <w:tcBorders>
              <w:top w:val="single" w:color="auto" w:sz="8" w:space="0"/>
              <w:left w:val="single" w:color="auto" w:sz="4" w:space="0"/>
              <w:bottom w:val="single" w:color="auto" w:sz="4" w:space="0"/>
              <w:right w:val="single" w:color="auto" w:sz="4" w:space="0"/>
            </w:tcBorders>
            <w:vAlign w:val="center"/>
          </w:tcPr>
          <w:p w14:paraId="06E0603F">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权利人（标准起草</w:t>
            </w:r>
          </w:p>
          <w:p w14:paraId="68D90F86">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单位）</w:t>
            </w:r>
          </w:p>
        </w:tc>
        <w:tc>
          <w:tcPr>
            <w:tcW w:w="851" w:type="dxa"/>
            <w:tcBorders>
              <w:top w:val="single" w:color="auto" w:sz="8" w:space="0"/>
              <w:left w:val="single" w:color="auto" w:sz="4" w:space="0"/>
              <w:bottom w:val="single" w:color="auto" w:sz="4" w:space="0"/>
              <w:right w:val="single" w:color="auto" w:sz="4" w:space="0"/>
            </w:tcBorders>
            <w:vAlign w:val="center"/>
          </w:tcPr>
          <w:p w14:paraId="6A35822F">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发明人（标准起草人）</w:t>
            </w:r>
          </w:p>
        </w:tc>
        <w:tc>
          <w:tcPr>
            <w:tcW w:w="1183" w:type="dxa"/>
            <w:tcBorders>
              <w:top w:val="single" w:color="auto" w:sz="8" w:space="0"/>
              <w:left w:val="single" w:color="auto" w:sz="4" w:space="0"/>
              <w:bottom w:val="single" w:color="auto" w:sz="4" w:space="0"/>
              <w:right w:val="single" w:color="auto" w:sz="8" w:space="0"/>
            </w:tcBorders>
            <w:vAlign w:val="center"/>
          </w:tcPr>
          <w:p w14:paraId="21D0449B">
            <w:pPr>
              <w:pStyle w:val="6"/>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发明专利（标准）有效状态</w:t>
            </w:r>
          </w:p>
        </w:tc>
      </w:tr>
      <w:tr w14:paraId="0844D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57FFA39A">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发明专利</w:t>
            </w:r>
          </w:p>
        </w:tc>
        <w:tc>
          <w:tcPr>
            <w:tcW w:w="1260" w:type="dxa"/>
            <w:tcBorders>
              <w:top w:val="single" w:color="auto" w:sz="4" w:space="0"/>
              <w:left w:val="single" w:color="auto" w:sz="4" w:space="0"/>
              <w:bottom w:val="single" w:color="auto" w:sz="4" w:space="0"/>
              <w:right w:val="single" w:color="auto" w:sz="4" w:space="0"/>
            </w:tcBorders>
          </w:tcPr>
          <w:p w14:paraId="05343C2A">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一种基于深度学习的梯田自动提取方法及装置</w:t>
            </w:r>
          </w:p>
        </w:tc>
        <w:tc>
          <w:tcPr>
            <w:tcW w:w="951" w:type="dxa"/>
            <w:tcBorders>
              <w:top w:val="single" w:color="auto" w:sz="4" w:space="0"/>
              <w:left w:val="single" w:color="auto" w:sz="4" w:space="0"/>
              <w:bottom w:val="single" w:color="auto" w:sz="4" w:space="0"/>
              <w:right w:val="single" w:color="auto" w:sz="4" w:space="0"/>
            </w:tcBorders>
          </w:tcPr>
          <w:p w14:paraId="3FF4DC58">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中国</w:t>
            </w:r>
          </w:p>
        </w:tc>
        <w:tc>
          <w:tcPr>
            <w:tcW w:w="917" w:type="dxa"/>
            <w:tcBorders>
              <w:top w:val="single" w:color="auto" w:sz="4" w:space="0"/>
              <w:left w:val="single" w:color="auto" w:sz="4" w:space="0"/>
              <w:bottom w:val="single" w:color="auto" w:sz="4" w:space="0"/>
              <w:right w:val="single" w:color="auto" w:sz="4" w:space="0"/>
            </w:tcBorders>
          </w:tcPr>
          <w:p w14:paraId="2FB5E194">
            <w:pPr>
              <w:pStyle w:val="6"/>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rPr>
              <w:t>CN 116310800 B</w:t>
            </w:r>
          </w:p>
        </w:tc>
        <w:tc>
          <w:tcPr>
            <w:tcW w:w="995" w:type="dxa"/>
            <w:tcBorders>
              <w:top w:val="single" w:color="auto" w:sz="4" w:space="0"/>
              <w:left w:val="single" w:color="auto" w:sz="4" w:space="0"/>
              <w:bottom w:val="single" w:color="auto" w:sz="4" w:space="0"/>
              <w:right w:val="single" w:color="auto" w:sz="4" w:space="0"/>
            </w:tcBorders>
          </w:tcPr>
          <w:p w14:paraId="6F9BBAC9">
            <w:pPr>
              <w:pStyle w:val="6"/>
              <w:spacing w:line="390" w:lineRule="exact"/>
              <w:ind w:firstLine="0" w:firstLineChars="0"/>
              <w:jc w:val="left"/>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2023-08-29</w:t>
            </w:r>
          </w:p>
        </w:tc>
        <w:tc>
          <w:tcPr>
            <w:tcW w:w="1134" w:type="dxa"/>
            <w:tcBorders>
              <w:top w:val="single" w:color="auto" w:sz="4" w:space="0"/>
              <w:left w:val="single" w:color="auto" w:sz="4" w:space="0"/>
              <w:bottom w:val="single" w:color="auto" w:sz="4" w:space="0"/>
              <w:right w:val="single" w:color="auto" w:sz="4" w:space="0"/>
            </w:tcBorders>
          </w:tcPr>
          <w:p w14:paraId="4459B0EC">
            <w:pPr>
              <w:pStyle w:val="6"/>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rPr>
              <w:t>第6277115号</w:t>
            </w:r>
          </w:p>
        </w:tc>
        <w:tc>
          <w:tcPr>
            <w:tcW w:w="850" w:type="dxa"/>
            <w:tcBorders>
              <w:top w:val="single" w:color="auto" w:sz="4" w:space="0"/>
              <w:left w:val="single" w:color="auto" w:sz="4" w:space="0"/>
              <w:bottom w:val="single" w:color="auto" w:sz="4" w:space="0"/>
              <w:right w:val="single" w:color="auto" w:sz="4" w:space="0"/>
            </w:tcBorders>
          </w:tcPr>
          <w:p w14:paraId="3FE529F9">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中国科学院地理科学与资源研究所</w:t>
            </w:r>
          </w:p>
        </w:tc>
        <w:tc>
          <w:tcPr>
            <w:tcW w:w="851" w:type="dxa"/>
            <w:tcBorders>
              <w:top w:val="single" w:color="auto" w:sz="4" w:space="0"/>
              <w:left w:val="single" w:color="auto" w:sz="4" w:space="0"/>
              <w:bottom w:val="single" w:color="auto" w:sz="4" w:space="0"/>
              <w:right w:val="single" w:color="auto" w:sz="4" w:space="0"/>
            </w:tcBorders>
          </w:tcPr>
          <w:p w14:paraId="5587FFEF">
            <w:pPr>
              <w:pStyle w:val="6"/>
              <w:spacing w:line="390" w:lineRule="exact"/>
              <w:ind w:firstLine="0" w:firstLineChars="0"/>
              <w:jc w:val="left"/>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卢亚晗、王学、辛良杰、李秀彬</w:t>
            </w:r>
          </w:p>
        </w:tc>
        <w:tc>
          <w:tcPr>
            <w:tcW w:w="1183" w:type="dxa"/>
            <w:tcBorders>
              <w:top w:val="single" w:color="auto" w:sz="4" w:space="0"/>
              <w:left w:val="single" w:color="auto" w:sz="4" w:space="0"/>
              <w:bottom w:val="single" w:color="auto" w:sz="4" w:space="0"/>
              <w:right w:val="single" w:color="auto" w:sz="8" w:space="0"/>
            </w:tcBorders>
          </w:tcPr>
          <w:p w14:paraId="5D7262CB">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有效</w:t>
            </w:r>
          </w:p>
        </w:tc>
      </w:tr>
      <w:tr w14:paraId="602F1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1088" w:type="dxa"/>
            <w:tcBorders>
              <w:top w:val="single" w:color="auto" w:sz="4" w:space="0"/>
              <w:left w:val="single" w:color="auto" w:sz="8" w:space="0"/>
              <w:bottom w:val="single" w:color="auto" w:sz="4" w:space="0"/>
              <w:right w:val="single" w:color="auto" w:sz="4" w:space="0"/>
            </w:tcBorders>
          </w:tcPr>
          <w:p w14:paraId="5550AE84">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发明专利</w:t>
            </w:r>
          </w:p>
        </w:tc>
        <w:tc>
          <w:tcPr>
            <w:tcW w:w="1260" w:type="dxa"/>
            <w:tcBorders>
              <w:top w:val="single" w:color="auto" w:sz="4" w:space="0"/>
              <w:left w:val="single" w:color="auto" w:sz="4" w:space="0"/>
              <w:bottom w:val="single" w:color="auto" w:sz="4" w:space="0"/>
              <w:right w:val="single" w:color="auto" w:sz="4" w:space="0"/>
            </w:tcBorders>
          </w:tcPr>
          <w:p w14:paraId="1343E91B">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耕地制图方法及耕地制图设备</w:t>
            </w:r>
          </w:p>
        </w:tc>
        <w:tc>
          <w:tcPr>
            <w:tcW w:w="951" w:type="dxa"/>
            <w:tcBorders>
              <w:top w:val="single" w:color="auto" w:sz="4" w:space="0"/>
              <w:left w:val="single" w:color="auto" w:sz="4" w:space="0"/>
              <w:bottom w:val="single" w:color="auto" w:sz="4" w:space="0"/>
              <w:right w:val="single" w:color="auto" w:sz="4" w:space="0"/>
            </w:tcBorders>
          </w:tcPr>
          <w:p w14:paraId="2F525A8C">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中国</w:t>
            </w:r>
          </w:p>
        </w:tc>
        <w:tc>
          <w:tcPr>
            <w:tcW w:w="917" w:type="dxa"/>
            <w:tcBorders>
              <w:top w:val="single" w:color="auto" w:sz="4" w:space="0"/>
              <w:left w:val="single" w:color="auto" w:sz="4" w:space="0"/>
              <w:bottom w:val="single" w:color="auto" w:sz="4" w:space="0"/>
              <w:right w:val="single" w:color="auto" w:sz="4" w:space="0"/>
            </w:tcBorders>
          </w:tcPr>
          <w:p w14:paraId="05686702">
            <w:pPr>
              <w:pStyle w:val="6"/>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rPr>
              <w:t>CN 118447126 B</w:t>
            </w:r>
          </w:p>
        </w:tc>
        <w:tc>
          <w:tcPr>
            <w:tcW w:w="995" w:type="dxa"/>
            <w:tcBorders>
              <w:top w:val="single" w:color="auto" w:sz="4" w:space="0"/>
              <w:left w:val="single" w:color="auto" w:sz="4" w:space="0"/>
              <w:bottom w:val="single" w:color="auto" w:sz="4" w:space="0"/>
              <w:right w:val="single" w:color="auto" w:sz="4" w:space="0"/>
            </w:tcBorders>
          </w:tcPr>
          <w:p w14:paraId="11446968">
            <w:pPr>
              <w:pStyle w:val="6"/>
              <w:spacing w:line="390" w:lineRule="exact"/>
              <w:ind w:firstLine="0" w:firstLineChars="0"/>
              <w:jc w:val="left"/>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2024-05-08</w:t>
            </w:r>
          </w:p>
        </w:tc>
        <w:tc>
          <w:tcPr>
            <w:tcW w:w="1134" w:type="dxa"/>
            <w:tcBorders>
              <w:top w:val="single" w:color="auto" w:sz="4" w:space="0"/>
              <w:left w:val="single" w:color="auto" w:sz="4" w:space="0"/>
              <w:bottom w:val="single" w:color="auto" w:sz="4" w:space="0"/>
              <w:right w:val="single" w:color="auto" w:sz="4" w:space="0"/>
            </w:tcBorders>
          </w:tcPr>
          <w:p w14:paraId="088C7EAC">
            <w:pPr>
              <w:pStyle w:val="6"/>
              <w:spacing w:line="390" w:lineRule="exact"/>
              <w:ind w:firstLine="0" w:firstLineChars="0"/>
              <w:jc w:val="left"/>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eastAsia="zh-CN"/>
              </w:rPr>
              <w:t>第</w:t>
            </w:r>
            <w:r>
              <w:rPr>
                <w:rFonts w:hint="eastAsia" w:ascii="Times New Roman" w:hAnsi="Times New Roman"/>
                <w:color w:val="000000"/>
                <w:sz w:val="21"/>
                <w:szCs w:val="21"/>
                <w:lang w:val="en-US" w:eastAsia="zh-CN"/>
              </w:rPr>
              <w:t>7660019号</w:t>
            </w:r>
          </w:p>
        </w:tc>
        <w:tc>
          <w:tcPr>
            <w:tcW w:w="850" w:type="dxa"/>
            <w:tcBorders>
              <w:top w:val="single" w:color="auto" w:sz="4" w:space="0"/>
              <w:left w:val="single" w:color="auto" w:sz="4" w:space="0"/>
              <w:bottom w:val="single" w:color="auto" w:sz="4" w:space="0"/>
              <w:right w:val="single" w:color="auto" w:sz="4" w:space="0"/>
            </w:tcBorders>
          </w:tcPr>
          <w:p w14:paraId="10E42F54">
            <w:pPr>
              <w:pStyle w:val="6"/>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lang w:eastAsia="zh-CN"/>
              </w:rPr>
              <w:t>中国科学院地理科学与资源研究所</w:t>
            </w:r>
          </w:p>
        </w:tc>
        <w:tc>
          <w:tcPr>
            <w:tcW w:w="851" w:type="dxa"/>
            <w:tcBorders>
              <w:top w:val="single" w:color="auto" w:sz="4" w:space="0"/>
              <w:left w:val="single" w:color="auto" w:sz="4" w:space="0"/>
              <w:bottom w:val="single" w:color="auto" w:sz="4" w:space="0"/>
              <w:right w:val="single" w:color="auto" w:sz="4" w:space="0"/>
            </w:tcBorders>
          </w:tcPr>
          <w:p w14:paraId="1CF86EC0">
            <w:pPr>
              <w:pStyle w:val="6"/>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lang w:val="en-US" w:eastAsia="zh-CN"/>
              </w:rPr>
              <w:t>张富尧、王学、辛良杰、李秀彬</w:t>
            </w:r>
          </w:p>
        </w:tc>
        <w:tc>
          <w:tcPr>
            <w:tcW w:w="1183" w:type="dxa"/>
            <w:tcBorders>
              <w:top w:val="single" w:color="auto" w:sz="4" w:space="0"/>
              <w:left w:val="single" w:color="auto" w:sz="4" w:space="0"/>
              <w:bottom w:val="single" w:color="auto" w:sz="4" w:space="0"/>
              <w:right w:val="single" w:color="auto" w:sz="8" w:space="0"/>
            </w:tcBorders>
          </w:tcPr>
          <w:p w14:paraId="01BD8F4D">
            <w:pPr>
              <w:pStyle w:val="6"/>
              <w:spacing w:line="390" w:lineRule="exact"/>
              <w:ind w:firstLine="0" w:firstLineChars="0"/>
              <w:jc w:val="left"/>
              <w:rPr>
                <w:rFonts w:hint="eastAsia" w:ascii="Times New Roman" w:hAnsi="Times New Roman" w:eastAsia="宋体"/>
                <w:color w:val="000000"/>
                <w:sz w:val="21"/>
                <w:szCs w:val="21"/>
                <w:lang w:eastAsia="zh-CN"/>
              </w:rPr>
            </w:pPr>
            <w:r>
              <w:rPr>
                <w:rFonts w:hint="eastAsia" w:ascii="Times New Roman" w:hAnsi="Times New Roman"/>
                <w:color w:val="000000"/>
                <w:sz w:val="21"/>
                <w:szCs w:val="21"/>
                <w:lang w:eastAsia="zh-CN"/>
              </w:rPr>
              <w:t>有效</w:t>
            </w:r>
          </w:p>
        </w:tc>
      </w:tr>
      <w:tr w14:paraId="7C514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10756CD5">
            <w:pPr>
              <w:pStyle w:val="6"/>
              <w:spacing w:line="390" w:lineRule="exact"/>
              <w:ind w:firstLine="0" w:firstLineChars="0"/>
              <w:jc w:val="left"/>
              <w:rPr>
                <w:rFonts w:ascii="Times New Roman" w:hAnsi="Times New Roman"/>
                <w:color w:val="000000"/>
                <w:sz w:val="21"/>
                <w:szCs w:val="21"/>
              </w:rPr>
            </w:pPr>
          </w:p>
        </w:tc>
        <w:tc>
          <w:tcPr>
            <w:tcW w:w="1260" w:type="dxa"/>
            <w:tcBorders>
              <w:top w:val="single" w:color="auto" w:sz="4" w:space="0"/>
              <w:left w:val="single" w:color="auto" w:sz="4" w:space="0"/>
              <w:bottom w:val="single" w:color="auto" w:sz="4" w:space="0"/>
              <w:right w:val="single" w:color="auto" w:sz="4" w:space="0"/>
            </w:tcBorders>
          </w:tcPr>
          <w:p w14:paraId="03DCEE44">
            <w:pPr>
              <w:pStyle w:val="6"/>
              <w:spacing w:line="390" w:lineRule="exact"/>
              <w:ind w:firstLine="0" w:firstLineChars="0"/>
              <w:jc w:val="left"/>
              <w:rPr>
                <w:rFonts w:ascii="Times New Roman" w:hAnsi="Times New Roman"/>
                <w:color w:val="000000"/>
                <w:sz w:val="21"/>
                <w:szCs w:val="21"/>
              </w:rPr>
            </w:pPr>
          </w:p>
        </w:tc>
        <w:tc>
          <w:tcPr>
            <w:tcW w:w="951" w:type="dxa"/>
            <w:tcBorders>
              <w:top w:val="single" w:color="auto" w:sz="4" w:space="0"/>
              <w:left w:val="single" w:color="auto" w:sz="4" w:space="0"/>
              <w:bottom w:val="single" w:color="auto" w:sz="4" w:space="0"/>
              <w:right w:val="single" w:color="auto" w:sz="4" w:space="0"/>
            </w:tcBorders>
          </w:tcPr>
          <w:p w14:paraId="4DAD53BC">
            <w:pPr>
              <w:pStyle w:val="6"/>
              <w:spacing w:line="390" w:lineRule="exact"/>
              <w:ind w:firstLine="0" w:firstLineChars="0"/>
              <w:jc w:val="left"/>
              <w:rPr>
                <w:rFonts w:ascii="Times New Roman" w:hAnsi="Times New Roman"/>
                <w:color w:val="000000"/>
                <w:sz w:val="21"/>
                <w:szCs w:val="21"/>
              </w:rPr>
            </w:pPr>
          </w:p>
        </w:tc>
        <w:tc>
          <w:tcPr>
            <w:tcW w:w="917" w:type="dxa"/>
            <w:tcBorders>
              <w:top w:val="single" w:color="auto" w:sz="4" w:space="0"/>
              <w:left w:val="single" w:color="auto" w:sz="4" w:space="0"/>
              <w:bottom w:val="single" w:color="auto" w:sz="4" w:space="0"/>
              <w:right w:val="single" w:color="auto" w:sz="4" w:space="0"/>
            </w:tcBorders>
          </w:tcPr>
          <w:p w14:paraId="0D723382">
            <w:pPr>
              <w:pStyle w:val="6"/>
              <w:spacing w:line="390" w:lineRule="exact"/>
              <w:ind w:firstLine="0" w:firstLineChars="0"/>
              <w:jc w:val="left"/>
              <w:rPr>
                <w:rFonts w:ascii="Times New Roman" w:hAnsi="Times New Roman"/>
                <w:color w:val="000000"/>
                <w:sz w:val="21"/>
                <w:szCs w:val="21"/>
              </w:rPr>
            </w:pPr>
          </w:p>
        </w:tc>
        <w:tc>
          <w:tcPr>
            <w:tcW w:w="995" w:type="dxa"/>
            <w:tcBorders>
              <w:top w:val="single" w:color="auto" w:sz="4" w:space="0"/>
              <w:left w:val="single" w:color="auto" w:sz="4" w:space="0"/>
              <w:bottom w:val="single" w:color="auto" w:sz="4" w:space="0"/>
              <w:right w:val="single" w:color="auto" w:sz="4" w:space="0"/>
            </w:tcBorders>
          </w:tcPr>
          <w:p w14:paraId="712EBE64">
            <w:pPr>
              <w:pStyle w:val="6"/>
              <w:spacing w:line="390" w:lineRule="exact"/>
              <w:ind w:firstLine="0" w:firstLineChars="0"/>
              <w:jc w:val="left"/>
              <w:rPr>
                <w:rFonts w:ascii="Times New Roman" w:hAnsi="Times New Roman"/>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tcPr>
          <w:p w14:paraId="294AFD10">
            <w:pPr>
              <w:pStyle w:val="6"/>
              <w:spacing w:line="390" w:lineRule="exact"/>
              <w:ind w:firstLine="0" w:firstLineChars="0"/>
              <w:jc w:val="left"/>
              <w:rPr>
                <w:rFonts w:ascii="Times New Roman" w:hAnsi="Times New Roman"/>
                <w:color w:val="000000"/>
                <w:sz w:val="21"/>
                <w:szCs w:val="21"/>
              </w:rPr>
            </w:pPr>
          </w:p>
        </w:tc>
        <w:tc>
          <w:tcPr>
            <w:tcW w:w="850" w:type="dxa"/>
            <w:tcBorders>
              <w:top w:val="single" w:color="auto" w:sz="4" w:space="0"/>
              <w:left w:val="single" w:color="auto" w:sz="4" w:space="0"/>
              <w:bottom w:val="single" w:color="auto" w:sz="4" w:space="0"/>
              <w:right w:val="single" w:color="auto" w:sz="4" w:space="0"/>
            </w:tcBorders>
          </w:tcPr>
          <w:p w14:paraId="3CDB16AB">
            <w:pPr>
              <w:pStyle w:val="6"/>
              <w:spacing w:line="390" w:lineRule="exact"/>
              <w:ind w:firstLine="0" w:firstLineChars="0"/>
              <w:jc w:val="left"/>
              <w:rPr>
                <w:rFonts w:ascii="Times New Roman" w:hAnsi="Times New Roman"/>
                <w:color w:val="000000"/>
                <w:sz w:val="21"/>
                <w:szCs w:val="21"/>
              </w:rPr>
            </w:pPr>
          </w:p>
        </w:tc>
        <w:tc>
          <w:tcPr>
            <w:tcW w:w="851" w:type="dxa"/>
            <w:tcBorders>
              <w:top w:val="single" w:color="auto" w:sz="4" w:space="0"/>
              <w:left w:val="single" w:color="auto" w:sz="4" w:space="0"/>
              <w:bottom w:val="single" w:color="auto" w:sz="4" w:space="0"/>
              <w:right w:val="single" w:color="auto" w:sz="4" w:space="0"/>
            </w:tcBorders>
          </w:tcPr>
          <w:p w14:paraId="3C017F61">
            <w:pPr>
              <w:pStyle w:val="6"/>
              <w:spacing w:line="390" w:lineRule="exact"/>
              <w:ind w:firstLine="0" w:firstLineChars="0"/>
              <w:jc w:val="left"/>
              <w:rPr>
                <w:rFonts w:ascii="Times New Roman" w:hAnsi="Times New Roman"/>
                <w:color w:val="000000"/>
                <w:sz w:val="21"/>
                <w:szCs w:val="21"/>
              </w:rPr>
            </w:pPr>
          </w:p>
        </w:tc>
        <w:tc>
          <w:tcPr>
            <w:tcW w:w="1183" w:type="dxa"/>
            <w:tcBorders>
              <w:top w:val="single" w:color="auto" w:sz="4" w:space="0"/>
              <w:left w:val="single" w:color="auto" w:sz="4" w:space="0"/>
              <w:bottom w:val="single" w:color="auto" w:sz="4" w:space="0"/>
              <w:right w:val="single" w:color="auto" w:sz="8" w:space="0"/>
            </w:tcBorders>
          </w:tcPr>
          <w:p w14:paraId="20807D3D">
            <w:pPr>
              <w:pStyle w:val="6"/>
              <w:spacing w:line="390" w:lineRule="exact"/>
              <w:ind w:firstLine="0" w:firstLineChars="0"/>
              <w:jc w:val="left"/>
              <w:rPr>
                <w:rFonts w:ascii="Times New Roman" w:hAnsi="Times New Roman"/>
                <w:color w:val="000000"/>
                <w:sz w:val="21"/>
                <w:szCs w:val="21"/>
              </w:rPr>
            </w:pPr>
          </w:p>
        </w:tc>
      </w:tr>
      <w:tr w14:paraId="782A9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5631C77A">
            <w:pPr>
              <w:pStyle w:val="6"/>
              <w:spacing w:line="390" w:lineRule="exact"/>
              <w:ind w:firstLine="0" w:firstLineChars="0"/>
              <w:jc w:val="left"/>
              <w:rPr>
                <w:rFonts w:ascii="Times New Roman" w:hAnsi="Times New Roman"/>
                <w:color w:val="000000"/>
                <w:sz w:val="21"/>
                <w:szCs w:val="21"/>
              </w:rPr>
            </w:pPr>
          </w:p>
        </w:tc>
        <w:tc>
          <w:tcPr>
            <w:tcW w:w="1260" w:type="dxa"/>
            <w:tcBorders>
              <w:top w:val="single" w:color="auto" w:sz="4" w:space="0"/>
              <w:left w:val="single" w:color="auto" w:sz="4" w:space="0"/>
              <w:bottom w:val="single" w:color="auto" w:sz="4" w:space="0"/>
              <w:right w:val="single" w:color="auto" w:sz="4" w:space="0"/>
            </w:tcBorders>
          </w:tcPr>
          <w:p w14:paraId="4EBE8224">
            <w:pPr>
              <w:pStyle w:val="6"/>
              <w:spacing w:line="390" w:lineRule="exact"/>
              <w:ind w:firstLine="0" w:firstLineChars="0"/>
              <w:jc w:val="left"/>
              <w:rPr>
                <w:rFonts w:ascii="Times New Roman" w:hAnsi="Times New Roman"/>
                <w:color w:val="000000"/>
                <w:sz w:val="21"/>
                <w:szCs w:val="21"/>
              </w:rPr>
            </w:pPr>
          </w:p>
        </w:tc>
        <w:tc>
          <w:tcPr>
            <w:tcW w:w="951" w:type="dxa"/>
            <w:tcBorders>
              <w:top w:val="single" w:color="auto" w:sz="4" w:space="0"/>
              <w:left w:val="single" w:color="auto" w:sz="4" w:space="0"/>
              <w:bottom w:val="single" w:color="auto" w:sz="4" w:space="0"/>
              <w:right w:val="single" w:color="auto" w:sz="4" w:space="0"/>
            </w:tcBorders>
          </w:tcPr>
          <w:p w14:paraId="7D936B5A">
            <w:pPr>
              <w:pStyle w:val="6"/>
              <w:spacing w:line="390" w:lineRule="exact"/>
              <w:ind w:firstLine="0" w:firstLineChars="0"/>
              <w:jc w:val="left"/>
              <w:rPr>
                <w:rFonts w:ascii="Times New Roman" w:hAnsi="Times New Roman"/>
                <w:color w:val="000000"/>
                <w:sz w:val="21"/>
                <w:szCs w:val="21"/>
              </w:rPr>
            </w:pPr>
          </w:p>
        </w:tc>
        <w:tc>
          <w:tcPr>
            <w:tcW w:w="917" w:type="dxa"/>
            <w:tcBorders>
              <w:top w:val="single" w:color="auto" w:sz="4" w:space="0"/>
              <w:left w:val="single" w:color="auto" w:sz="4" w:space="0"/>
              <w:bottom w:val="single" w:color="auto" w:sz="4" w:space="0"/>
              <w:right w:val="single" w:color="auto" w:sz="4" w:space="0"/>
            </w:tcBorders>
          </w:tcPr>
          <w:p w14:paraId="1B8A5874">
            <w:pPr>
              <w:pStyle w:val="6"/>
              <w:spacing w:line="390" w:lineRule="exact"/>
              <w:ind w:firstLine="0" w:firstLineChars="0"/>
              <w:jc w:val="left"/>
              <w:rPr>
                <w:rFonts w:ascii="Times New Roman" w:hAnsi="Times New Roman"/>
                <w:color w:val="000000"/>
                <w:sz w:val="21"/>
                <w:szCs w:val="21"/>
              </w:rPr>
            </w:pPr>
          </w:p>
        </w:tc>
        <w:tc>
          <w:tcPr>
            <w:tcW w:w="995" w:type="dxa"/>
            <w:tcBorders>
              <w:top w:val="single" w:color="auto" w:sz="4" w:space="0"/>
              <w:left w:val="single" w:color="auto" w:sz="4" w:space="0"/>
              <w:bottom w:val="single" w:color="auto" w:sz="4" w:space="0"/>
              <w:right w:val="single" w:color="auto" w:sz="4" w:space="0"/>
            </w:tcBorders>
          </w:tcPr>
          <w:p w14:paraId="25701E41">
            <w:pPr>
              <w:pStyle w:val="6"/>
              <w:spacing w:line="390" w:lineRule="exact"/>
              <w:ind w:firstLine="0" w:firstLineChars="0"/>
              <w:jc w:val="left"/>
              <w:rPr>
                <w:rFonts w:ascii="Times New Roman" w:hAnsi="Times New Roman"/>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tcPr>
          <w:p w14:paraId="59455B5C">
            <w:pPr>
              <w:pStyle w:val="6"/>
              <w:spacing w:line="390" w:lineRule="exact"/>
              <w:ind w:firstLine="0" w:firstLineChars="0"/>
              <w:jc w:val="left"/>
              <w:rPr>
                <w:rFonts w:ascii="Times New Roman" w:hAnsi="Times New Roman"/>
                <w:color w:val="000000"/>
                <w:sz w:val="21"/>
                <w:szCs w:val="21"/>
              </w:rPr>
            </w:pPr>
          </w:p>
        </w:tc>
        <w:tc>
          <w:tcPr>
            <w:tcW w:w="850" w:type="dxa"/>
            <w:tcBorders>
              <w:top w:val="single" w:color="auto" w:sz="4" w:space="0"/>
              <w:left w:val="single" w:color="auto" w:sz="4" w:space="0"/>
              <w:bottom w:val="single" w:color="auto" w:sz="4" w:space="0"/>
              <w:right w:val="single" w:color="auto" w:sz="4" w:space="0"/>
            </w:tcBorders>
          </w:tcPr>
          <w:p w14:paraId="54CEB7A8">
            <w:pPr>
              <w:pStyle w:val="6"/>
              <w:spacing w:line="390" w:lineRule="exact"/>
              <w:ind w:firstLine="0" w:firstLineChars="0"/>
              <w:jc w:val="left"/>
              <w:rPr>
                <w:rFonts w:ascii="Times New Roman" w:hAnsi="Times New Roman"/>
                <w:color w:val="000000"/>
                <w:sz w:val="21"/>
                <w:szCs w:val="21"/>
              </w:rPr>
            </w:pPr>
          </w:p>
        </w:tc>
        <w:tc>
          <w:tcPr>
            <w:tcW w:w="851" w:type="dxa"/>
            <w:tcBorders>
              <w:top w:val="single" w:color="auto" w:sz="4" w:space="0"/>
              <w:left w:val="single" w:color="auto" w:sz="4" w:space="0"/>
              <w:bottom w:val="single" w:color="auto" w:sz="4" w:space="0"/>
              <w:right w:val="single" w:color="auto" w:sz="4" w:space="0"/>
            </w:tcBorders>
          </w:tcPr>
          <w:p w14:paraId="19687CB4">
            <w:pPr>
              <w:pStyle w:val="6"/>
              <w:spacing w:line="390" w:lineRule="exact"/>
              <w:ind w:firstLine="0" w:firstLineChars="0"/>
              <w:jc w:val="left"/>
              <w:rPr>
                <w:rFonts w:ascii="Times New Roman" w:hAnsi="Times New Roman"/>
                <w:color w:val="000000"/>
                <w:sz w:val="21"/>
                <w:szCs w:val="21"/>
              </w:rPr>
            </w:pPr>
          </w:p>
        </w:tc>
        <w:tc>
          <w:tcPr>
            <w:tcW w:w="1183" w:type="dxa"/>
            <w:tcBorders>
              <w:top w:val="single" w:color="auto" w:sz="4" w:space="0"/>
              <w:left w:val="single" w:color="auto" w:sz="4" w:space="0"/>
              <w:bottom w:val="single" w:color="auto" w:sz="4" w:space="0"/>
              <w:right w:val="single" w:color="auto" w:sz="8" w:space="0"/>
            </w:tcBorders>
          </w:tcPr>
          <w:p w14:paraId="5884C29B">
            <w:pPr>
              <w:pStyle w:val="6"/>
              <w:spacing w:line="390" w:lineRule="exact"/>
              <w:ind w:firstLine="0" w:firstLineChars="0"/>
              <w:jc w:val="left"/>
              <w:rPr>
                <w:rFonts w:ascii="Times New Roman" w:hAnsi="Times New Roman"/>
                <w:color w:val="000000"/>
                <w:sz w:val="21"/>
                <w:szCs w:val="21"/>
              </w:rPr>
            </w:pPr>
          </w:p>
        </w:tc>
      </w:tr>
      <w:tr w14:paraId="1810D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15E95EF8">
            <w:pPr>
              <w:pStyle w:val="6"/>
              <w:spacing w:line="390" w:lineRule="exact"/>
              <w:ind w:firstLine="0" w:firstLineChars="0"/>
              <w:jc w:val="left"/>
              <w:rPr>
                <w:rFonts w:ascii="Times New Roman" w:hAnsi="Times New Roman"/>
                <w:color w:val="000000"/>
                <w:sz w:val="21"/>
                <w:szCs w:val="21"/>
              </w:rPr>
            </w:pPr>
          </w:p>
        </w:tc>
        <w:tc>
          <w:tcPr>
            <w:tcW w:w="1260" w:type="dxa"/>
            <w:tcBorders>
              <w:top w:val="single" w:color="auto" w:sz="4" w:space="0"/>
              <w:left w:val="single" w:color="auto" w:sz="4" w:space="0"/>
              <w:bottom w:val="single" w:color="auto" w:sz="4" w:space="0"/>
              <w:right w:val="single" w:color="auto" w:sz="4" w:space="0"/>
            </w:tcBorders>
          </w:tcPr>
          <w:p w14:paraId="34ED025F">
            <w:pPr>
              <w:pStyle w:val="6"/>
              <w:spacing w:line="390" w:lineRule="exact"/>
              <w:ind w:firstLine="0" w:firstLineChars="0"/>
              <w:jc w:val="left"/>
              <w:rPr>
                <w:rFonts w:ascii="Times New Roman" w:hAnsi="Times New Roman"/>
                <w:color w:val="000000"/>
                <w:sz w:val="21"/>
                <w:szCs w:val="21"/>
              </w:rPr>
            </w:pPr>
          </w:p>
        </w:tc>
        <w:tc>
          <w:tcPr>
            <w:tcW w:w="951" w:type="dxa"/>
            <w:tcBorders>
              <w:top w:val="single" w:color="auto" w:sz="4" w:space="0"/>
              <w:left w:val="single" w:color="auto" w:sz="4" w:space="0"/>
              <w:bottom w:val="single" w:color="auto" w:sz="4" w:space="0"/>
              <w:right w:val="single" w:color="auto" w:sz="4" w:space="0"/>
            </w:tcBorders>
          </w:tcPr>
          <w:p w14:paraId="0380CBC9">
            <w:pPr>
              <w:pStyle w:val="6"/>
              <w:spacing w:line="390" w:lineRule="exact"/>
              <w:ind w:firstLine="0" w:firstLineChars="0"/>
              <w:jc w:val="left"/>
              <w:rPr>
                <w:rFonts w:ascii="Times New Roman" w:hAnsi="Times New Roman"/>
                <w:color w:val="000000"/>
                <w:sz w:val="21"/>
                <w:szCs w:val="21"/>
              </w:rPr>
            </w:pPr>
          </w:p>
        </w:tc>
        <w:tc>
          <w:tcPr>
            <w:tcW w:w="917" w:type="dxa"/>
            <w:tcBorders>
              <w:top w:val="single" w:color="auto" w:sz="4" w:space="0"/>
              <w:left w:val="single" w:color="auto" w:sz="4" w:space="0"/>
              <w:bottom w:val="single" w:color="auto" w:sz="4" w:space="0"/>
              <w:right w:val="single" w:color="auto" w:sz="4" w:space="0"/>
            </w:tcBorders>
          </w:tcPr>
          <w:p w14:paraId="7F168641">
            <w:pPr>
              <w:pStyle w:val="6"/>
              <w:spacing w:line="390" w:lineRule="exact"/>
              <w:ind w:firstLine="0" w:firstLineChars="0"/>
              <w:jc w:val="left"/>
              <w:rPr>
                <w:rFonts w:ascii="Times New Roman" w:hAnsi="Times New Roman"/>
                <w:color w:val="000000"/>
                <w:sz w:val="21"/>
                <w:szCs w:val="21"/>
              </w:rPr>
            </w:pPr>
          </w:p>
        </w:tc>
        <w:tc>
          <w:tcPr>
            <w:tcW w:w="995" w:type="dxa"/>
            <w:tcBorders>
              <w:top w:val="single" w:color="auto" w:sz="4" w:space="0"/>
              <w:left w:val="single" w:color="auto" w:sz="4" w:space="0"/>
              <w:bottom w:val="single" w:color="auto" w:sz="4" w:space="0"/>
              <w:right w:val="single" w:color="auto" w:sz="4" w:space="0"/>
            </w:tcBorders>
          </w:tcPr>
          <w:p w14:paraId="1E295A36">
            <w:pPr>
              <w:pStyle w:val="6"/>
              <w:spacing w:line="390" w:lineRule="exact"/>
              <w:ind w:firstLine="0" w:firstLineChars="0"/>
              <w:jc w:val="left"/>
              <w:rPr>
                <w:rFonts w:ascii="Times New Roman" w:hAnsi="Times New Roman"/>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tcPr>
          <w:p w14:paraId="337680FE">
            <w:pPr>
              <w:pStyle w:val="6"/>
              <w:spacing w:line="390" w:lineRule="exact"/>
              <w:ind w:firstLine="0" w:firstLineChars="0"/>
              <w:jc w:val="left"/>
              <w:rPr>
                <w:rFonts w:ascii="Times New Roman" w:hAnsi="Times New Roman"/>
                <w:color w:val="000000"/>
                <w:sz w:val="21"/>
                <w:szCs w:val="21"/>
              </w:rPr>
            </w:pPr>
          </w:p>
        </w:tc>
        <w:tc>
          <w:tcPr>
            <w:tcW w:w="850" w:type="dxa"/>
            <w:tcBorders>
              <w:top w:val="single" w:color="auto" w:sz="4" w:space="0"/>
              <w:left w:val="single" w:color="auto" w:sz="4" w:space="0"/>
              <w:bottom w:val="single" w:color="auto" w:sz="4" w:space="0"/>
              <w:right w:val="single" w:color="auto" w:sz="4" w:space="0"/>
            </w:tcBorders>
          </w:tcPr>
          <w:p w14:paraId="643F4CAA">
            <w:pPr>
              <w:pStyle w:val="6"/>
              <w:spacing w:line="390" w:lineRule="exact"/>
              <w:ind w:firstLine="0" w:firstLineChars="0"/>
              <w:jc w:val="left"/>
              <w:rPr>
                <w:rFonts w:ascii="Times New Roman" w:hAnsi="Times New Roman"/>
                <w:color w:val="000000"/>
                <w:sz w:val="21"/>
                <w:szCs w:val="21"/>
              </w:rPr>
            </w:pPr>
          </w:p>
        </w:tc>
        <w:tc>
          <w:tcPr>
            <w:tcW w:w="851" w:type="dxa"/>
            <w:tcBorders>
              <w:top w:val="single" w:color="auto" w:sz="4" w:space="0"/>
              <w:left w:val="single" w:color="auto" w:sz="4" w:space="0"/>
              <w:bottom w:val="single" w:color="auto" w:sz="4" w:space="0"/>
              <w:right w:val="single" w:color="auto" w:sz="4" w:space="0"/>
            </w:tcBorders>
          </w:tcPr>
          <w:p w14:paraId="6B6CFF08">
            <w:pPr>
              <w:pStyle w:val="6"/>
              <w:spacing w:line="390" w:lineRule="exact"/>
              <w:ind w:firstLine="0" w:firstLineChars="0"/>
              <w:jc w:val="left"/>
              <w:rPr>
                <w:rFonts w:ascii="Times New Roman" w:hAnsi="Times New Roman"/>
                <w:color w:val="000000"/>
                <w:sz w:val="21"/>
                <w:szCs w:val="21"/>
              </w:rPr>
            </w:pPr>
          </w:p>
        </w:tc>
        <w:tc>
          <w:tcPr>
            <w:tcW w:w="1183" w:type="dxa"/>
            <w:tcBorders>
              <w:top w:val="single" w:color="auto" w:sz="4" w:space="0"/>
              <w:left w:val="single" w:color="auto" w:sz="4" w:space="0"/>
              <w:bottom w:val="single" w:color="auto" w:sz="4" w:space="0"/>
              <w:right w:val="single" w:color="auto" w:sz="8" w:space="0"/>
            </w:tcBorders>
          </w:tcPr>
          <w:p w14:paraId="4F80B79D">
            <w:pPr>
              <w:pStyle w:val="6"/>
              <w:spacing w:line="390" w:lineRule="exact"/>
              <w:ind w:firstLine="0" w:firstLineChars="0"/>
              <w:jc w:val="left"/>
              <w:rPr>
                <w:rFonts w:ascii="Times New Roman" w:hAnsi="Times New Roman"/>
                <w:color w:val="000000"/>
                <w:sz w:val="21"/>
                <w:szCs w:val="21"/>
              </w:rPr>
            </w:pPr>
          </w:p>
        </w:tc>
      </w:tr>
      <w:tr w14:paraId="661E6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5900FB5B">
            <w:pPr>
              <w:pStyle w:val="6"/>
              <w:spacing w:line="390" w:lineRule="exact"/>
              <w:ind w:firstLine="0" w:firstLineChars="0"/>
              <w:jc w:val="left"/>
              <w:rPr>
                <w:rFonts w:ascii="Times New Roman" w:hAnsi="Times New Roman"/>
                <w:color w:val="000000"/>
                <w:sz w:val="21"/>
                <w:szCs w:val="21"/>
              </w:rPr>
            </w:pPr>
          </w:p>
        </w:tc>
        <w:tc>
          <w:tcPr>
            <w:tcW w:w="1260" w:type="dxa"/>
            <w:tcBorders>
              <w:top w:val="single" w:color="auto" w:sz="4" w:space="0"/>
              <w:left w:val="single" w:color="auto" w:sz="4" w:space="0"/>
              <w:bottom w:val="single" w:color="auto" w:sz="4" w:space="0"/>
              <w:right w:val="single" w:color="auto" w:sz="4" w:space="0"/>
            </w:tcBorders>
          </w:tcPr>
          <w:p w14:paraId="15B7C7A0">
            <w:pPr>
              <w:pStyle w:val="6"/>
              <w:spacing w:line="390" w:lineRule="exact"/>
              <w:ind w:firstLine="0" w:firstLineChars="0"/>
              <w:jc w:val="left"/>
              <w:rPr>
                <w:rFonts w:ascii="Times New Roman" w:hAnsi="Times New Roman"/>
                <w:color w:val="000000"/>
                <w:sz w:val="21"/>
                <w:szCs w:val="21"/>
              </w:rPr>
            </w:pPr>
          </w:p>
        </w:tc>
        <w:tc>
          <w:tcPr>
            <w:tcW w:w="951" w:type="dxa"/>
            <w:tcBorders>
              <w:top w:val="single" w:color="auto" w:sz="4" w:space="0"/>
              <w:left w:val="single" w:color="auto" w:sz="4" w:space="0"/>
              <w:bottom w:val="single" w:color="auto" w:sz="4" w:space="0"/>
              <w:right w:val="single" w:color="auto" w:sz="4" w:space="0"/>
            </w:tcBorders>
          </w:tcPr>
          <w:p w14:paraId="4671F860">
            <w:pPr>
              <w:pStyle w:val="6"/>
              <w:spacing w:line="390" w:lineRule="exact"/>
              <w:ind w:firstLine="0" w:firstLineChars="0"/>
              <w:jc w:val="left"/>
              <w:rPr>
                <w:rFonts w:ascii="Times New Roman" w:hAnsi="Times New Roman"/>
                <w:color w:val="000000"/>
                <w:sz w:val="21"/>
                <w:szCs w:val="21"/>
              </w:rPr>
            </w:pPr>
          </w:p>
        </w:tc>
        <w:tc>
          <w:tcPr>
            <w:tcW w:w="917" w:type="dxa"/>
            <w:tcBorders>
              <w:top w:val="single" w:color="auto" w:sz="4" w:space="0"/>
              <w:left w:val="single" w:color="auto" w:sz="4" w:space="0"/>
              <w:bottom w:val="single" w:color="auto" w:sz="4" w:space="0"/>
              <w:right w:val="single" w:color="auto" w:sz="4" w:space="0"/>
            </w:tcBorders>
          </w:tcPr>
          <w:p w14:paraId="1D525E02">
            <w:pPr>
              <w:pStyle w:val="6"/>
              <w:spacing w:line="390" w:lineRule="exact"/>
              <w:ind w:firstLine="0" w:firstLineChars="0"/>
              <w:jc w:val="left"/>
              <w:rPr>
                <w:rFonts w:ascii="Times New Roman" w:hAnsi="Times New Roman"/>
                <w:color w:val="000000"/>
                <w:sz w:val="21"/>
                <w:szCs w:val="21"/>
              </w:rPr>
            </w:pPr>
          </w:p>
        </w:tc>
        <w:tc>
          <w:tcPr>
            <w:tcW w:w="995" w:type="dxa"/>
            <w:tcBorders>
              <w:top w:val="single" w:color="auto" w:sz="4" w:space="0"/>
              <w:left w:val="single" w:color="auto" w:sz="4" w:space="0"/>
              <w:bottom w:val="single" w:color="auto" w:sz="4" w:space="0"/>
              <w:right w:val="single" w:color="auto" w:sz="4" w:space="0"/>
            </w:tcBorders>
          </w:tcPr>
          <w:p w14:paraId="7BED321D">
            <w:pPr>
              <w:pStyle w:val="6"/>
              <w:spacing w:line="390" w:lineRule="exact"/>
              <w:ind w:firstLine="0" w:firstLineChars="0"/>
              <w:jc w:val="left"/>
              <w:rPr>
                <w:rFonts w:ascii="Times New Roman" w:hAnsi="Times New Roman"/>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tcPr>
          <w:p w14:paraId="55A87600">
            <w:pPr>
              <w:pStyle w:val="6"/>
              <w:spacing w:line="390" w:lineRule="exact"/>
              <w:ind w:firstLine="0" w:firstLineChars="0"/>
              <w:jc w:val="left"/>
              <w:rPr>
                <w:rFonts w:ascii="Times New Roman" w:hAnsi="Times New Roman"/>
                <w:color w:val="000000"/>
                <w:sz w:val="21"/>
                <w:szCs w:val="21"/>
              </w:rPr>
            </w:pPr>
          </w:p>
        </w:tc>
        <w:tc>
          <w:tcPr>
            <w:tcW w:w="850" w:type="dxa"/>
            <w:tcBorders>
              <w:top w:val="single" w:color="auto" w:sz="4" w:space="0"/>
              <w:left w:val="single" w:color="auto" w:sz="4" w:space="0"/>
              <w:bottom w:val="single" w:color="auto" w:sz="4" w:space="0"/>
              <w:right w:val="single" w:color="auto" w:sz="4" w:space="0"/>
            </w:tcBorders>
          </w:tcPr>
          <w:p w14:paraId="3AC3B465">
            <w:pPr>
              <w:pStyle w:val="6"/>
              <w:spacing w:line="390" w:lineRule="exact"/>
              <w:ind w:firstLine="0" w:firstLineChars="0"/>
              <w:jc w:val="left"/>
              <w:rPr>
                <w:rFonts w:ascii="Times New Roman" w:hAnsi="Times New Roman"/>
                <w:color w:val="000000"/>
                <w:sz w:val="21"/>
                <w:szCs w:val="21"/>
              </w:rPr>
            </w:pPr>
          </w:p>
        </w:tc>
        <w:tc>
          <w:tcPr>
            <w:tcW w:w="851" w:type="dxa"/>
            <w:tcBorders>
              <w:top w:val="single" w:color="auto" w:sz="4" w:space="0"/>
              <w:left w:val="single" w:color="auto" w:sz="4" w:space="0"/>
              <w:bottom w:val="single" w:color="auto" w:sz="4" w:space="0"/>
              <w:right w:val="single" w:color="auto" w:sz="4" w:space="0"/>
            </w:tcBorders>
          </w:tcPr>
          <w:p w14:paraId="00EC4ABB">
            <w:pPr>
              <w:pStyle w:val="6"/>
              <w:spacing w:line="390" w:lineRule="exact"/>
              <w:ind w:firstLine="0" w:firstLineChars="0"/>
              <w:jc w:val="left"/>
              <w:rPr>
                <w:rFonts w:ascii="Times New Roman" w:hAnsi="Times New Roman"/>
                <w:color w:val="000000"/>
                <w:sz w:val="21"/>
                <w:szCs w:val="21"/>
              </w:rPr>
            </w:pPr>
          </w:p>
        </w:tc>
        <w:tc>
          <w:tcPr>
            <w:tcW w:w="1183" w:type="dxa"/>
            <w:tcBorders>
              <w:top w:val="single" w:color="auto" w:sz="4" w:space="0"/>
              <w:left w:val="single" w:color="auto" w:sz="4" w:space="0"/>
              <w:bottom w:val="single" w:color="auto" w:sz="4" w:space="0"/>
              <w:right w:val="single" w:color="auto" w:sz="8" w:space="0"/>
            </w:tcBorders>
          </w:tcPr>
          <w:p w14:paraId="03FB98B7">
            <w:pPr>
              <w:pStyle w:val="6"/>
              <w:spacing w:line="390" w:lineRule="exact"/>
              <w:ind w:firstLine="0" w:firstLineChars="0"/>
              <w:jc w:val="left"/>
              <w:rPr>
                <w:rFonts w:ascii="Times New Roman" w:hAnsi="Times New Roman"/>
                <w:color w:val="000000"/>
                <w:sz w:val="21"/>
                <w:szCs w:val="21"/>
              </w:rPr>
            </w:pPr>
          </w:p>
        </w:tc>
      </w:tr>
      <w:tr w14:paraId="392E7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368E3EC0">
            <w:pPr>
              <w:pStyle w:val="6"/>
              <w:spacing w:line="390" w:lineRule="exact"/>
              <w:ind w:firstLine="0" w:firstLineChars="0"/>
              <w:jc w:val="left"/>
              <w:rPr>
                <w:rFonts w:ascii="Times New Roman" w:hAnsi="Times New Roman"/>
                <w:color w:val="000000"/>
                <w:sz w:val="21"/>
                <w:szCs w:val="21"/>
              </w:rPr>
            </w:pPr>
          </w:p>
        </w:tc>
        <w:tc>
          <w:tcPr>
            <w:tcW w:w="1260" w:type="dxa"/>
            <w:tcBorders>
              <w:top w:val="single" w:color="auto" w:sz="4" w:space="0"/>
              <w:left w:val="single" w:color="auto" w:sz="4" w:space="0"/>
              <w:bottom w:val="single" w:color="auto" w:sz="4" w:space="0"/>
              <w:right w:val="single" w:color="auto" w:sz="4" w:space="0"/>
            </w:tcBorders>
          </w:tcPr>
          <w:p w14:paraId="0A0A1389">
            <w:pPr>
              <w:pStyle w:val="6"/>
              <w:spacing w:line="390" w:lineRule="exact"/>
              <w:ind w:firstLine="0" w:firstLineChars="0"/>
              <w:jc w:val="left"/>
              <w:rPr>
                <w:rFonts w:ascii="Times New Roman" w:hAnsi="Times New Roman"/>
                <w:color w:val="000000"/>
                <w:sz w:val="21"/>
                <w:szCs w:val="21"/>
              </w:rPr>
            </w:pPr>
          </w:p>
        </w:tc>
        <w:tc>
          <w:tcPr>
            <w:tcW w:w="951" w:type="dxa"/>
            <w:tcBorders>
              <w:top w:val="single" w:color="auto" w:sz="4" w:space="0"/>
              <w:left w:val="single" w:color="auto" w:sz="4" w:space="0"/>
              <w:bottom w:val="single" w:color="auto" w:sz="4" w:space="0"/>
              <w:right w:val="single" w:color="auto" w:sz="4" w:space="0"/>
            </w:tcBorders>
          </w:tcPr>
          <w:p w14:paraId="3F9C22B2">
            <w:pPr>
              <w:pStyle w:val="6"/>
              <w:spacing w:line="390" w:lineRule="exact"/>
              <w:ind w:firstLine="0" w:firstLineChars="0"/>
              <w:jc w:val="center"/>
              <w:rPr>
                <w:rFonts w:ascii="Times New Roman" w:hAnsi="Times New Roman"/>
                <w:color w:val="000000"/>
                <w:sz w:val="21"/>
                <w:szCs w:val="21"/>
              </w:rPr>
            </w:pPr>
          </w:p>
        </w:tc>
        <w:tc>
          <w:tcPr>
            <w:tcW w:w="917" w:type="dxa"/>
            <w:tcBorders>
              <w:top w:val="single" w:color="auto" w:sz="4" w:space="0"/>
              <w:left w:val="single" w:color="auto" w:sz="4" w:space="0"/>
              <w:bottom w:val="single" w:color="auto" w:sz="4" w:space="0"/>
              <w:right w:val="single" w:color="auto" w:sz="4" w:space="0"/>
            </w:tcBorders>
          </w:tcPr>
          <w:p w14:paraId="63EBDBC8">
            <w:pPr>
              <w:pStyle w:val="6"/>
              <w:spacing w:line="390" w:lineRule="exact"/>
              <w:ind w:firstLine="0" w:firstLineChars="0"/>
              <w:jc w:val="left"/>
              <w:rPr>
                <w:rFonts w:ascii="Times New Roman" w:hAnsi="Times New Roman"/>
                <w:color w:val="000000"/>
                <w:sz w:val="21"/>
                <w:szCs w:val="21"/>
              </w:rPr>
            </w:pPr>
          </w:p>
        </w:tc>
        <w:tc>
          <w:tcPr>
            <w:tcW w:w="995" w:type="dxa"/>
            <w:tcBorders>
              <w:top w:val="single" w:color="auto" w:sz="4" w:space="0"/>
              <w:left w:val="single" w:color="auto" w:sz="4" w:space="0"/>
              <w:bottom w:val="single" w:color="auto" w:sz="4" w:space="0"/>
              <w:right w:val="single" w:color="auto" w:sz="4" w:space="0"/>
            </w:tcBorders>
          </w:tcPr>
          <w:p w14:paraId="6A5B6EAE">
            <w:pPr>
              <w:pStyle w:val="6"/>
              <w:spacing w:line="390" w:lineRule="exact"/>
              <w:ind w:firstLine="0" w:firstLineChars="0"/>
              <w:jc w:val="left"/>
              <w:rPr>
                <w:rFonts w:ascii="Times New Roman" w:hAnsi="Times New Roman"/>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tcPr>
          <w:p w14:paraId="50B2000C">
            <w:pPr>
              <w:pStyle w:val="6"/>
              <w:spacing w:line="390" w:lineRule="exact"/>
              <w:ind w:firstLine="0" w:firstLineChars="0"/>
              <w:jc w:val="left"/>
              <w:rPr>
                <w:rFonts w:ascii="Times New Roman" w:hAnsi="Times New Roman"/>
                <w:color w:val="000000"/>
                <w:sz w:val="21"/>
                <w:szCs w:val="21"/>
              </w:rPr>
            </w:pPr>
          </w:p>
        </w:tc>
        <w:tc>
          <w:tcPr>
            <w:tcW w:w="850" w:type="dxa"/>
            <w:tcBorders>
              <w:top w:val="single" w:color="auto" w:sz="4" w:space="0"/>
              <w:left w:val="single" w:color="auto" w:sz="4" w:space="0"/>
              <w:bottom w:val="single" w:color="auto" w:sz="4" w:space="0"/>
              <w:right w:val="single" w:color="auto" w:sz="4" w:space="0"/>
            </w:tcBorders>
          </w:tcPr>
          <w:p w14:paraId="57B8A958">
            <w:pPr>
              <w:pStyle w:val="6"/>
              <w:spacing w:line="390" w:lineRule="exact"/>
              <w:ind w:firstLine="0" w:firstLineChars="0"/>
              <w:jc w:val="left"/>
              <w:rPr>
                <w:rFonts w:ascii="Times New Roman" w:hAnsi="Times New Roman"/>
                <w:color w:val="000000"/>
                <w:sz w:val="21"/>
                <w:szCs w:val="21"/>
              </w:rPr>
            </w:pPr>
          </w:p>
        </w:tc>
        <w:tc>
          <w:tcPr>
            <w:tcW w:w="851" w:type="dxa"/>
            <w:tcBorders>
              <w:top w:val="single" w:color="auto" w:sz="4" w:space="0"/>
              <w:left w:val="single" w:color="auto" w:sz="4" w:space="0"/>
              <w:bottom w:val="single" w:color="auto" w:sz="4" w:space="0"/>
              <w:right w:val="single" w:color="auto" w:sz="4" w:space="0"/>
            </w:tcBorders>
          </w:tcPr>
          <w:p w14:paraId="62457EC4">
            <w:pPr>
              <w:pStyle w:val="6"/>
              <w:spacing w:line="390" w:lineRule="exact"/>
              <w:ind w:firstLine="0" w:firstLineChars="0"/>
              <w:jc w:val="left"/>
              <w:rPr>
                <w:rFonts w:ascii="Times New Roman" w:hAnsi="Times New Roman"/>
                <w:color w:val="000000"/>
                <w:sz w:val="21"/>
                <w:szCs w:val="21"/>
              </w:rPr>
            </w:pPr>
          </w:p>
        </w:tc>
        <w:tc>
          <w:tcPr>
            <w:tcW w:w="1183" w:type="dxa"/>
            <w:tcBorders>
              <w:top w:val="single" w:color="auto" w:sz="4" w:space="0"/>
              <w:left w:val="single" w:color="auto" w:sz="4" w:space="0"/>
              <w:bottom w:val="single" w:color="auto" w:sz="4" w:space="0"/>
              <w:right w:val="single" w:color="auto" w:sz="8" w:space="0"/>
            </w:tcBorders>
          </w:tcPr>
          <w:p w14:paraId="1F1D1154">
            <w:pPr>
              <w:pStyle w:val="6"/>
              <w:spacing w:line="390" w:lineRule="exact"/>
              <w:ind w:firstLine="0" w:firstLineChars="0"/>
              <w:jc w:val="left"/>
              <w:rPr>
                <w:rFonts w:ascii="Times New Roman" w:hAnsi="Times New Roman"/>
                <w:color w:val="000000"/>
                <w:sz w:val="21"/>
                <w:szCs w:val="21"/>
              </w:rPr>
            </w:pPr>
          </w:p>
        </w:tc>
      </w:tr>
      <w:tr w14:paraId="22CCE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8" w:space="0"/>
              <w:right w:val="single" w:color="auto" w:sz="4" w:space="0"/>
            </w:tcBorders>
          </w:tcPr>
          <w:p w14:paraId="78F48575">
            <w:pPr>
              <w:pStyle w:val="6"/>
              <w:spacing w:line="390" w:lineRule="exact"/>
              <w:ind w:firstLine="0" w:firstLineChars="0"/>
              <w:jc w:val="left"/>
              <w:rPr>
                <w:rFonts w:ascii="Times New Roman" w:hAnsi="Times New Roman"/>
                <w:color w:val="000000"/>
                <w:sz w:val="21"/>
                <w:szCs w:val="21"/>
              </w:rPr>
            </w:pPr>
          </w:p>
        </w:tc>
        <w:tc>
          <w:tcPr>
            <w:tcW w:w="1260" w:type="dxa"/>
            <w:tcBorders>
              <w:top w:val="single" w:color="auto" w:sz="4" w:space="0"/>
              <w:left w:val="single" w:color="auto" w:sz="4" w:space="0"/>
              <w:bottom w:val="single" w:color="auto" w:sz="8" w:space="0"/>
              <w:right w:val="single" w:color="auto" w:sz="4" w:space="0"/>
            </w:tcBorders>
          </w:tcPr>
          <w:p w14:paraId="57B0CCAB">
            <w:pPr>
              <w:pStyle w:val="6"/>
              <w:spacing w:line="390" w:lineRule="exact"/>
              <w:ind w:firstLine="0" w:firstLineChars="0"/>
              <w:jc w:val="left"/>
              <w:rPr>
                <w:rFonts w:ascii="Times New Roman" w:hAnsi="Times New Roman"/>
                <w:color w:val="000000"/>
                <w:sz w:val="21"/>
                <w:szCs w:val="21"/>
              </w:rPr>
            </w:pPr>
          </w:p>
        </w:tc>
        <w:tc>
          <w:tcPr>
            <w:tcW w:w="951" w:type="dxa"/>
            <w:tcBorders>
              <w:top w:val="single" w:color="auto" w:sz="4" w:space="0"/>
              <w:left w:val="single" w:color="auto" w:sz="4" w:space="0"/>
              <w:bottom w:val="single" w:color="auto" w:sz="8" w:space="0"/>
              <w:right w:val="single" w:color="auto" w:sz="4" w:space="0"/>
            </w:tcBorders>
          </w:tcPr>
          <w:p w14:paraId="34A89D01">
            <w:pPr>
              <w:pStyle w:val="6"/>
              <w:spacing w:line="390" w:lineRule="exact"/>
              <w:ind w:firstLine="0" w:firstLineChars="0"/>
              <w:jc w:val="left"/>
              <w:rPr>
                <w:rFonts w:ascii="Times New Roman" w:hAnsi="Times New Roman"/>
                <w:color w:val="000000"/>
                <w:sz w:val="21"/>
                <w:szCs w:val="21"/>
              </w:rPr>
            </w:pPr>
          </w:p>
        </w:tc>
        <w:tc>
          <w:tcPr>
            <w:tcW w:w="917" w:type="dxa"/>
            <w:tcBorders>
              <w:top w:val="single" w:color="auto" w:sz="4" w:space="0"/>
              <w:left w:val="single" w:color="auto" w:sz="4" w:space="0"/>
              <w:bottom w:val="single" w:color="auto" w:sz="8" w:space="0"/>
              <w:right w:val="single" w:color="auto" w:sz="4" w:space="0"/>
            </w:tcBorders>
          </w:tcPr>
          <w:p w14:paraId="439C03E2">
            <w:pPr>
              <w:pStyle w:val="6"/>
              <w:spacing w:line="390" w:lineRule="exact"/>
              <w:ind w:firstLine="0" w:firstLineChars="0"/>
              <w:jc w:val="left"/>
              <w:rPr>
                <w:rFonts w:ascii="Times New Roman" w:hAnsi="Times New Roman"/>
                <w:color w:val="000000"/>
                <w:sz w:val="21"/>
                <w:szCs w:val="21"/>
              </w:rPr>
            </w:pPr>
          </w:p>
        </w:tc>
        <w:tc>
          <w:tcPr>
            <w:tcW w:w="995" w:type="dxa"/>
            <w:tcBorders>
              <w:top w:val="single" w:color="auto" w:sz="4" w:space="0"/>
              <w:left w:val="single" w:color="auto" w:sz="4" w:space="0"/>
              <w:bottom w:val="single" w:color="auto" w:sz="8" w:space="0"/>
              <w:right w:val="single" w:color="auto" w:sz="4" w:space="0"/>
            </w:tcBorders>
          </w:tcPr>
          <w:p w14:paraId="534DCABE">
            <w:pPr>
              <w:pStyle w:val="6"/>
              <w:spacing w:line="390" w:lineRule="exact"/>
              <w:ind w:firstLine="0" w:firstLineChars="0"/>
              <w:jc w:val="left"/>
              <w:rPr>
                <w:rFonts w:ascii="Times New Roman" w:hAnsi="Times New Roman"/>
                <w:color w:val="000000"/>
                <w:sz w:val="21"/>
                <w:szCs w:val="21"/>
              </w:rPr>
            </w:pPr>
          </w:p>
        </w:tc>
        <w:tc>
          <w:tcPr>
            <w:tcW w:w="1134" w:type="dxa"/>
            <w:tcBorders>
              <w:top w:val="single" w:color="auto" w:sz="4" w:space="0"/>
              <w:left w:val="single" w:color="auto" w:sz="4" w:space="0"/>
              <w:bottom w:val="single" w:color="auto" w:sz="8" w:space="0"/>
              <w:right w:val="single" w:color="auto" w:sz="4" w:space="0"/>
            </w:tcBorders>
          </w:tcPr>
          <w:p w14:paraId="6A67CC76">
            <w:pPr>
              <w:pStyle w:val="6"/>
              <w:spacing w:line="390" w:lineRule="exact"/>
              <w:ind w:firstLine="0" w:firstLineChars="0"/>
              <w:jc w:val="left"/>
              <w:rPr>
                <w:rFonts w:ascii="Times New Roman" w:hAnsi="Times New Roman"/>
                <w:color w:val="000000"/>
                <w:sz w:val="21"/>
                <w:szCs w:val="21"/>
              </w:rPr>
            </w:pPr>
          </w:p>
        </w:tc>
        <w:tc>
          <w:tcPr>
            <w:tcW w:w="850" w:type="dxa"/>
            <w:tcBorders>
              <w:top w:val="single" w:color="auto" w:sz="4" w:space="0"/>
              <w:left w:val="single" w:color="auto" w:sz="4" w:space="0"/>
              <w:bottom w:val="single" w:color="auto" w:sz="8" w:space="0"/>
              <w:right w:val="single" w:color="auto" w:sz="4" w:space="0"/>
            </w:tcBorders>
          </w:tcPr>
          <w:p w14:paraId="2B1BCB39">
            <w:pPr>
              <w:pStyle w:val="6"/>
              <w:spacing w:line="390" w:lineRule="exact"/>
              <w:ind w:firstLine="0" w:firstLineChars="0"/>
              <w:jc w:val="left"/>
              <w:rPr>
                <w:rFonts w:ascii="Times New Roman" w:hAnsi="Times New Roman"/>
                <w:color w:val="000000"/>
                <w:sz w:val="21"/>
                <w:szCs w:val="21"/>
              </w:rPr>
            </w:pPr>
          </w:p>
        </w:tc>
        <w:tc>
          <w:tcPr>
            <w:tcW w:w="851" w:type="dxa"/>
            <w:tcBorders>
              <w:top w:val="single" w:color="auto" w:sz="4" w:space="0"/>
              <w:left w:val="single" w:color="auto" w:sz="4" w:space="0"/>
              <w:bottom w:val="single" w:color="auto" w:sz="8" w:space="0"/>
              <w:right w:val="single" w:color="auto" w:sz="4" w:space="0"/>
            </w:tcBorders>
          </w:tcPr>
          <w:p w14:paraId="645002F3">
            <w:pPr>
              <w:pStyle w:val="6"/>
              <w:spacing w:line="390" w:lineRule="exact"/>
              <w:ind w:firstLine="0" w:firstLineChars="0"/>
              <w:jc w:val="left"/>
              <w:rPr>
                <w:rFonts w:ascii="Times New Roman" w:hAnsi="Times New Roman"/>
                <w:color w:val="000000"/>
                <w:sz w:val="21"/>
                <w:szCs w:val="21"/>
              </w:rPr>
            </w:pPr>
          </w:p>
        </w:tc>
        <w:tc>
          <w:tcPr>
            <w:tcW w:w="1183" w:type="dxa"/>
            <w:tcBorders>
              <w:top w:val="single" w:color="auto" w:sz="4" w:space="0"/>
              <w:left w:val="single" w:color="auto" w:sz="4" w:space="0"/>
              <w:bottom w:val="single" w:color="auto" w:sz="8" w:space="0"/>
              <w:right w:val="single" w:color="auto" w:sz="8" w:space="0"/>
            </w:tcBorders>
          </w:tcPr>
          <w:p w14:paraId="6C8E1BC9">
            <w:pPr>
              <w:pStyle w:val="6"/>
              <w:spacing w:line="390" w:lineRule="exact"/>
              <w:ind w:firstLine="0" w:firstLineChars="0"/>
              <w:jc w:val="left"/>
              <w:rPr>
                <w:rFonts w:ascii="Times New Roman" w:hAnsi="Times New Roman"/>
                <w:color w:val="000000"/>
                <w:sz w:val="21"/>
                <w:szCs w:val="21"/>
              </w:rPr>
            </w:pPr>
          </w:p>
        </w:tc>
      </w:tr>
    </w:tbl>
    <w:p w14:paraId="293B0548">
      <w:pPr>
        <w:spacing w:after="156" w:afterLines="50"/>
        <w:rPr>
          <w:rFonts w:ascii="Times New Roman" w:hAnsi="Times New Roman" w:eastAsia="方正小标宋_GBK"/>
          <w:sz w:val="32"/>
          <w:szCs w:val="32"/>
        </w:rPr>
      </w:pPr>
    </w:p>
    <w:bookmarkEnd w:id="4"/>
    <w:p w14:paraId="27D5F26C">
      <w:pPr>
        <w:rPr>
          <w:rFonts w:ascii="Times New Roman" w:hAnsi="Times New Roman"/>
        </w:rPr>
      </w:pPr>
    </w:p>
    <w:sectPr>
      <w:headerReference r:id="rId3" w:type="default"/>
      <w:footerReference r:id="rId4" w:type="default"/>
      <w:footerReference r:id="rId5" w:type="even"/>
      <w:pgSz w:w="11906" w:h="16838"/>
      <w:pgMar w:top="1418" w:right="1588" w:bottom="1474" w:left="1588" w:header="851" w:footer="1021"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0BAAA7-2B60-46EB-9CCE-B7E524A4B00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46C15C18-BF1E-4DE8-BA7F-83F4FBFD5C4D}"/>
  </w:font>
  <w:font w:name="方正小标宋简体">
    <w:panose1 w:val="02000000000000000000"/>
    <w:charset w:val="86"/>
    <w:family w:val="auto"/>
    <w:pitch w:val="default"/>
    <w:sig w:usb0="00000001" w:usb1="08000000" w:usb2="00000000" w:usb3="00000000" w:csb0="00040000" w:csb1="00000000"/>
    <w:embedRegular r:id="rId3" w:fontKey="{3BE70A8D-AABB-43B7-8F02-70F44935D773}"/>
  </w:font>
  <w:font w:name="仿宋">
    <w:panose1 w:val="02010609060101010101"/>
    <w:charset w:val="86"/>
    <w:family w:val="modern"/>
    <w:pitch w:val="default"/>
    <w:sig w:usb0="800002BF" w:usb1="38CF7CFA" w:usb2="00000016" w:usb3="00000000" w:csb0="00040001" w:csb1="00000000"/>
    <w:embedRegular r:id="rId4" w:fontKey="{52EC041A-2EE2-4D57-9197-886D2781C51F}"/>
  </w:font>
  <w:font w:name="楷体_GB2312">
    <w:panose1 w:val="02010609030101010101"/>
    <w:charset w:val="86"/>
    <w:family w:val="modern"/>
    <w:pitch w:val="default"/>
    <w:sig w:usb0="00000001" w:usb1="080E0000" w:usb2="00000000" w:usb3="00000000" w:csb0="00040000" w:csb1="00000000"/>
    <w:embedRegular r:id="rId5" w:fontKey="{239CEC06-1AEE-4699-8687-9D04BCBC8384}"/>
  </w:font>
  <w:font w:name="楷体">
    <w:panose1 w:val="02010609060101010101"/>
    <w:charset w:val="86"/>
    <w:family w:val="modern"/>
    <w:pitch w:val="default"/>
    <w:sig w:usb0="800002BF" w:usb1="38CF7CFA" w:usb2="00000016" w:usb3="00000000" w:csb0="00040001" w:csb1="00000000"/>
    <w:embedRegular r:id="rId6" w:fontKey="{61C8AD0E-FA07-49EC-88BD-9B168DEF3640}"/>
  </w:font>
  <w:font w:name="方正小标宋_GBK">
    <w:panose1 w:val="02000000000000000000"/>
    <w:charset w:val="86"/>
    <w:family w:val="script"/>
    <w:pitch w:val="default"/>
    <w:sig w:usb0="A00002BF" w:usb1="38CF7CFA" w:usb2="00082016" w:usb3="00000000" w:csb0="00040001" w:csb1="00000000"/>
    <w:embedRegular r:id="rId7" w:fontKey="{86FCC9A0-5533-4EF1-ABD9-54EF4A59785D}"/>
  </w:font>
  <w:font w:name="WPSEMBED4">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5059">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14935" cy="2844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a:noFill/>
                      </a:ln>
                    </wps:spPr>
                    <wps:txbx>
                      <w:txbxContent>
                        <w:p w14:paraId="4267F79B">
                          <w:pPr>
                            <w:pStyle w:val="7"/>
                            <w:ind w:left="210" w:leftChars="100" w:right="210" w:rightChars="100"/>
                            <w:rPr>
                              <w:rStyle w:val="14"/>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Style w:val="14"/>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4"/>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p>
                        <w:p w14:paraId="2992CE1A"/>
                      </w:txbxContent>
                    </wps:txbx>
                    <wps:bodyPr wrap="none" lIns="0" tIns="0" rIns="0" bIns="0">
                      <a:spAutoFit/>
                    </wps:bodyPr>
                  </wps:wsp>
                </a:graphicData>
              </a:graphic>
            </wp:anchor>
          </w:drawing>
        </mc:Choice>
        <mc:Fallback>
          <w:pict>
            <v:shape id="_x0000_s1026" o:spid="_x0000_s1026" o:spt="202" type="#_x0000_t202" style="position:absolute;left:0pt;margin-top:0pt;height:22.4pt;width:9.05pt;mso-position-horizontal:outside;mso-position-horizontal-relative:margin;mso-wrap-style:none;z-index:251659264;mso-width-relative:page;mso-height-relative:page;" filled="f" stroked="f" coordsize="21600,21600" o:gfxdata="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KdMbLQAAAAAwEAAA8AAAAAAAAAAQAgAAAAIgAAAGRycy9kb3ducmV2Lnht&#10;bFBLAQIUABQAAAAIAIdO4kCNybL6yAEAAIsDAAAOAAAAAAAAAAEAIAAAAB8BAABkcnMvZTJvRG9j&#10;LnhtbFBLBQYAAAAABgAGAFkBAABZBQAAAAA=&#10;">
              <v:fill on="f" focussize="0,0"/>
              <v:stroke on="f"/>
              <v:imagedata o:title=""/>
              <o:lock v:ext="edit" aspectratio="f"/>
              <v:textbox inset="0mm,0mm,0mm,0mm" style="mso-fit-shape-to-text:t;">
                <w:txbxContent>
                  <w:p w14:paraId="4267F79B">
                    <w:pPr>
                      <w:pStyle w:val="7"/>
                      <w:ind w:left="210" w:leftChars="100" w:right="210" w:rightChars="100"/>
                      <w:rPr>
                        <w:rStyle w:val="14"/>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Style w:val="14"/>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4"/>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p>
                  <w:p w14:paraId="2992CE1A"/>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6B7E9">
    <w:pPr>
      <w:pStyle w:val="7"/>
      <w:framePr w:wrap="around" w:vAnchor="text" w:hAnchor="margin" w:xAlign="center" w:y="1"/>
      <w:rPr>
        <w:rStyle w:val="14"/>
      </w:rPr>
    </w:pPr>
    <w:r>
      <w:fldChar w:fldCharType="begin"/>
    </w:r>
    <w:r>
      <w:rPr>
        <w:rStyle w:val="14"/>
      </w:rPr>
      <w:instrText xml:space="preserve">PAGE  </w:instrText>
    </w:r>
    <w:r>
      <w:fldChar w:fldCharType="end"/>
    </w:r>
  </w:p>
  <w:p w14:paraId="609A4EF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2AC7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hYTZmYmNjYTQzZDJhYjQxYzMyYWQzOGNjNzgwOTcifQ=="/>
  </w:docVars>
  <w:rsids>
    <w:rsidRoot w:val="7AF52088"/>
    <w:rsid w:val="000C6E03"/>
    <w:rsid w:val="00213CF6"/>
    <w:rsid w:val="002E01C1"/>
    <w:rsid w:val="003F417C"/>
    <w:rsid w:val="003F5BDA"/>
    <w:rsid w:val="00842ABE"/>
    <w:rsid w:val="008B386F"/>
    <w:rsid w:val="009F27E3"/>
    <w:rsid w:val="00C6664C"/>
    <w:rsid w:val="00CF2CB3"/>
    <w:rsid w:val="00F2365D"/>
    <w:rsid w:val="016043AA"/>
    <w:rsid w:val="01BD7A4F"/>
    <w:rsid w:val="01C506B1"/>
    <w:rsid w:val="01D6466C"/>
    <w:rsid w:val="01F33470"/>
    <w:rsid w:val="0264611C"/>
    <w:rsid w:val="028E1EC6"/>
    <w:rsid w:val="02D908B8"/>
    <w:rsid w:val="032C298F"/>
    <w:rsid w:val="034F0B7A"/>
    <w:rsid w:val="03716D43"/>
    <w:rsid w:val="03810BB8"/>
    <w:rsid w:val="03E017D2"/>
    <w:rsid w:val="03F4702C"/>
    <w:rsid w:val="05507075"/>
    <w:rsid w:val="05571F68"/>
    <w:rsid w:val="055B3806"/>
    <w:rsid w:val="059C797B"/>
    <w:rsid w:val="05EF3F4F"/>
    <w:rsid w:val="06184EA7"/>
    <w:rsid w:val="065A3ABE"/>
    <w:rsid w:val="06C248AB"/>
    <w:rsid w:val="06CC6E92"/>
    <w:rsid w:val="06E96BF0"/>
    <w:rsid w:val="078801B7"/>
    <w:rsid w:val="07AB20F7"/>
    <w:rsid w:val="0842480A"/>
    <w:rsid w:val="087B5F6E"/>
    <w:rsid w:val="08944BD5"/>
    <w:rsid w:val="08FA50E4"/>
    <w:rsid w:val="09267C87"/>
    <w:rsid w:val="095C18FB"/>
    <w:rsid w:val="099F5C8C"/>
    <w:rsid w:val="09D7434E"/>
    <w:rsid w:val="0A1246B0"/>
    <w:rsid w:val="0A2A37A7"/>
    <w:rsid w:val="0A595E3B"/>
    <w:rsid w:val="0AB319EF"/>
    <w:rsid w:val="0AED2402"/>
    <w:rsid w:val="0B33752A"/>
    <w:rsid w:val="0B5D7BAD"/>
    <w:rsid w:val="0BDD3E59"/>
    <w:rsid w:val="0C2D3A23"/>
    <w:rsid w:val="0C3D1EB8"/>
    <w:rsid w:val="0C680011"/>
    <w:rsid w:val="0C7F569E"/>
    <w:rsid w:val="0CE71E24"/>
    <w:rsid w:val="0D0A78C0"/>
    <w:rsid w:val="0D103128"/>
    <w:rsid w:val="0E464928"/>
    <w:rsid w:val="0E8D2557"/>
    <w:rsid w:val="0ED939EE"/>
    <w:rsid w:val="0EFD2A7F"/>
    <w:rsid w:val="0F1F3AF7"/>
    <w:rsid w:val="0F305831"/>
    <w:rsid w:val="0F3D6233"/>
    <w:rsid w:val="0F44355D"/>
    <w:rsid w:val="0F9D4AAD"/>
    <w:rsid w:val="0FF860F6"/>
    <w:rsid w:val="102B64CB"/>
    <w:rsid w:val="10741C20"/>
    <w:rsid w:val="1122342A"/>
    <w:rsid w:val="11290C5D"/>
    <w:rsid w:val="11333889"/>
    <w:rsid w:val="119205C0"/>
    <w:rsid w:val="11B76268"/>
    <w:rsid w:val="11C475F1"/>
    <w:rsid w:val="12176D07"/>
    <w:rsid w:val="12415B32"/>
    <w:rsid w:val="124B075F"/>
    <w:rsid w:val="125D233B"/>
    <w:rsid w:val="127C6B6A"/>
    <w:rsid w:val="12C56763"/>
    <w:rsid w:val="136046DE"/>
    <w:rsid w:val="13914897"/>
    <w:rsid w:val="13D36C5E"/>
    <w:rsid w:val="142C45C0"/>
    <w:rsid w:val="149D3294"/>
    <w:rsid w:val="14A800EA"/>
    <w:rsid w:val="14B051F1"/>
    <w:rsid w:val="1525173B"/>
    <w:rsid w:val="15520056"/>
    <w:rsid w:val="156A1844"/>
    <w:rsid w:val="15BB1881"/>
    <w:rsid w:val="16111CBF"/>
    <w:rsid w:val="16144BA0"/>
    <w:rsid w:val="161C2C20"/>
    <w:rsid w:val="1638549E"/>
    <w:rsid w:val="16564F11"/>
    <w:rsid w:val="165F3F8F"/>
    <w:rsid w:val="168E50BE"/>
    <w:rsid w:val="1767428D"/>
    <w:rsid w:val="17BB6387"/>
    <w:rsid w:val="18DE057F"/>
    <w:rsid w:val="19573E8D"/>
    <w:rsid w:val="195F2D42"/>
    <w:rsid w:val="19C71013"/>
    <w:rsid w:val="1A1F2BFD"/>
    <w:rsid w:val="1AFF658A"/>
    <w:rsid w:val="1B8151F1"/>
    <w:rsid w:val="1BD2047B"/>
    <w:rsid w:val="1BEC2FB3"/>
    <w:rsid w:val="1C281B11"/>
    <w:rsid w:val="1C5D17BA"/>
    <w:rsid w:val="1C6E2922"/>
    <w:rsid w:val="1D061E52"/>
    <w:rsid w:val="1D2F75FB"/>
    <w:rsid w:val="1D3D7840"/>
    <w:rsid w:val="1D4C0BF8"/>
    <w:rsid w:val="1DB95116"/>
    <w:rsid w:val="1DE008F5"/>
    <w:rsid w:val="1DE1641B"/>
    <w:rsid w:val="1E122A78"/>
    <w:rsid w:val="1E201262"/>
    <w:rsid w:val="1E5B61CE"/>
    <w:rsid w:val="1EB31B66"/>
    <w:rsid w:val="1EB853CE"/>
    <w:rsid w:val="1F1F369F"/>
    <w:rsid w:val="1F9276F2"/>
    <w:rsid w:val="2000527E"/>
    <w:rsid w:val="2065313C"/>
    <w:rsid w:val="2076304F"/>
    <w:rsid w:val="20A35C0A"/>
    <w:rsid w:val="20FD74DF"/>
    <w:rsid w:val="210A7A37"/>
    <w:rsid w:val="212E5E1B"/>
    <w:rsid w:val="21613AFB"/>
    <w:rsid w:val="218B0B78"/>
    <w:rsid w:val="229879F0"/>
    <w:rsid w:val="22E22A19"/>
    <w:rsid w:val="234731C4"/>
    <w:rsid w:val="234E4553"/>
    <w:rsid w:val="23D26F32"/>
    <w:rsid w:val="2443573A"/>
    <w:rsid w:val="247B4ED4"/>
    <w:rsid w:val="24B93C4E"/>
    <w:rsid w:val="24CD1A61"/>
    <w:rsid w:val="24E52C95"/>
    <w:rsid w:val="252B62B1"/>
    <w:rsid w:val="25341526"/>
    <w:rsid w:val="2580651A"/>
    <w:rsid w:val="25B63C34"/>
    <w:rsid w:val="262301D1"/>
    <w:rsid w:val="26AD333E"/>
    <w:rsid w:val="26C358C3"/>
    <w:rsid w:val="270C3E08"/>
    <w:rsid w:val="271E5FEA"/>
    <w:rsid w:val="27484B0A"/>
    <w:rsid w:val="2790267D"/>
    <w:rsid w:val="27C17045"/>
    <w:rsid w:val="289C366A"/>
    <w:rsid w:val="28B22E8E"/>
    <w:rsid w:val="28C606E7"/>
    <w:rsid w:val="291578F4"/>
    <w:rsid w:val="293B7327"/>
    <w:rsid w:val="297445E7"/>
    <w:rsid w:val="29772E08"/>
    <w:rsid w:val="29787C34"/>
    <w:rsid w:val="29F15C38"/>
    <w:rsid w:val="29F64224"/>
    <w:rsid w:val="2A50295E"/>
    <w:rsid w:val="2A7C33B2"/>
    <w:rsid w:val="2AA1765E"/>
    <w:rsid w:val="2AAD6003"/>
    <w:rsid w:val="2B342280"/>
    <w:rsid w:val="2BB90EC9"/>
    <w:rsid w:val="2BFC7397"/>
    <w:rsid w:val="2C0E0D23"/>
    <w:rsid w:val="2C136339"/>
    <w:rsid w:val="2C412EA7"/>
    <w:rsid w:val="2C484235"/>
    <w:rsid w:val="2C493B09"/>
    <w:rsid w:val="2C6B1CD2"/>
    <w:rsid w:val="2CDA29B3"/>
    <w:rsid w:val="2D2307FE"/>
    <w:rsid w:val="2D256324"/>
    <w:rsid w:val="2D5E35E4"/>
    <w:rsid w:val="2D870D8D"/>
    <w:rsid w:val="2D9214E0"/>
    <w:rsid w:val="2DBE5C85"/>
    <w:rsid w:val="2DE82F8B"/>
    <w:rsid w:val="2E0F2B31"/>
    <w:rsid w:val="2E773F0E"/>
    <w:rsid w:val="2E884DBD"/>
    <w:rsid w:val="2EEE2746"/>
    <w:rsid w:val="2F44677C"/>
    <w:rsid w:val="2F656EAC"/>
    <w:rsid w:val="2F6F7D2B"/>
    <w:rsid w:val="2FCC6F2B"/>
    <w:rsid w:val="2FCD47F7"/>
    <w:rsid w:val="2FED502D"/>
    <w:rsid w:val="30662EDC"/>
    <w:rsid w:val="30B55C11"/>
    <w:rsid w:val="30E81B43"/>
    <w:rsid w:val="31034FD5"/>
    <w:rsid w:val="31210BB1"/>
    <w:rsid w:val="319F5F79"/>
    <w:rsid w:val="31B40951"/>
    <w:rsid w:val="31D70028"/>
    <w:rsid w:val="3227669B"/>
    <w:rsid w:val="32B85545"/>
    <w:rsid w:val="32D700C1"/>
    <w:rsid w:val="32E3095D"/>
    <w:rsid w:val="32F02F31"/>
    <w:rsid w:val="330E3514"/>
    <w:rsid w:val="333F17C2"/>
    <w:rsid w:val="339C5BA2"/>
    <w:rsid w:val="339E0852"/>
    <w:rsid w:val="33B36A61"/>
    <w:rsid w:val="34036C94"/>
    <w:rsid w:val="3480789F"/>
    <w:rsid w:val="34AF6AD4"/>
    <w:rsid w:val="34C5219B"/>
    <w:rsid w:val="35246EC1"/>
    <w:rsid w:val="3541551D"/>
    <w:rsid w:val="3589141A"/>
    <w:rsid w:val="35D6212C"/>
    <w:rsid w:val="36424813"/>
    <w:rsid w:val="367E2601"/>
    <w:rsid w:val="3699743B"/>
    <w:rsid w:val="36C97D20"/>
    <w:rsid w:val="36D13079"/>
    <w:rsid w:val="36DD37CC"/>
    <w:rsid w:val="375B253A"/>
    <w:rsid w:val="37774450"/>
    <w:rsid w:val="37AE5168"/>
    <w:rsid w:val="3885236D"/>
    <w:rsid w:val="389C3213"/>
    <w:rsid w:val="389D1465"/>
    <w:rsid w:val="389E51DD"/>
    <w:rsid w:val="38B642D4"/>
    <w:rsid w:val="39AE31FE"/>
    <w:rsid w:val="39BA7DF4"/>
    <w:rsid w:val="39C908AC"/>
    <w:rsid w:val="39E76710"/>
    <w:rsid w:val="3A2E188B"/>
    <w:rsid w:val="3A704D37"/>
    <w:rsid w:val="3A83468A"/>
    <w:rsid w:val="3AAD7959"/>
    <w:rsid w:val="3AAE65B7"/>
    <w:rsid w:val="3AB6680E"/>
    <w:rsid w:val="3ADB6274"/>
    <w:rsid w:val="3BBD3634"/>
    <w:rsid w:val="3BE64552"/>
    <w:rsid w:val="3C0D4B53"/>
    <w:rsid w:val="3C335C3C"/>
    <w:rsid w:val="3CE65A62"/>
    <w:rsid w:val="3D0D2931"/>
    <w:rsid w:val="3D3B56F0"/>
    <w:rsid w:val="3E070E47"/>
    <w:rsid w:val="3E18333B"/>
    <w:rsid w:val="3E204C06"/>
    <w:rsid w:val="3E8557BD"/>
    <w:rsid w:val="3E95498C"/>
    <w:rsid w:val="3EA54F8F"/>
    <w:rsid w:val="3EB76ADA"/>
    <w:rsid w:val="3EC55271"/>
    <w:rsid w:val="3F514D57"/>
    <w:rsid w:val="3F852C53"/>
    <w:rsid w:val="3FCE0156"/>
    <w:rsid w:val="403A57EB"/>
    <w:rsid w:val="40C31C84"/>
    <w:rsid w:val="410B7187"/>
    <w:rsid w:val="41474664"/>
    <w:rsid w:val="41A43864"/>
    <w:rsid w:val="41AD023F"/>
    <w:rsid w:val="41D8350E"/>
    <w:rsid w:val="424B3CDF"/>
    <w:rsid w:val="42982C9D"/>
    <w:rsid w:val="43026CC7"/>
    <w:rsid w:val="43194AB4"/>
    <w:rsid w:val="43597597"/>
    <w:rsid w:val="43996CCD"/>
    <w:rsid w:val="43E268C5"/>
    <w:rsid w:val="440A3726"/>
    <w:rsid w:val="44906321"/>
    <w:rsid w:val="44DF4016"/>
    <w:rsid w:val="450B3BFA"/>
    <w:rsid w:val="453A1937"/>
    <w:rsid w:val="456B6447"/>
    <w:rsid w:val="45796DB6"/>
    <w:rsid w:val="45A007E6"/>
    <w:rsid w:val="4648526B"/>
    <w:rsid w:val="464C70F8"/>
    <w:rsid w:val="46B972B8"/>
    <w:rsid w:val="46C16C66"/>
    <w:rsid w:val="47E744AA"/>
    <w:rsid w:val="489A0F95"/>
    <w:rsid w:val="48A405ED"/>
    <w:rsid w:val="48FA020D"/>
    <w:rsid w:val="498521CD"/>
    <w:rsid w:val="499F48B0"/>
    <w:rsid w:val="49E0433F"/>
    <w:rsid w:val="4A044C18"/>
    <w:rsid w:val="4A4756D4"/>
    <w:rsid w:val="4A484FA8"/>
    <w:rsid w:val="4B1A4B97"/>
    <w:rsid w:val="4B2C48CA"/>
    <w:rsid w:val="4B3D2391"/>
    <w:rsid w:val="4C2A2BB8"/>
    <w:rsid w:val="4C373527"/>
    <w:rsid w:val="4C4579F1"/>
    <w:rsid w:val="4C820C46"/>
    <w:rsid w:val="4C8F5111"/>
    <w:rsid w:val="4CA46E0E"/>
    <w:rsid w:val="4CE03BBE"/>
    <w:rsid w:val="4D113D78"/>
    <w:rsid w:val="4D673998"/>
    <w:rsid w:val="4D994499"/>
    <w:rsid w:val="4DEA4CF4"/>
    <w:rsid w:val="4DF07E31"/>
    <w:rsid w:val="4E130D1F"/>
    <w:rsid w:val="4E290A9F"/>
    <w:rsid w:val="4E9133C2"/>
    <w:rsid w:val="4EE74D90"/>
    <w:rsid w:val="4F1D6005"/>
    <w:rsid w:val="4F2C392A"/>
    <w:rsid w:val="4F4C553B"/>
    <w:rsid w:val="4F521B36"/>
    <w:rsid w:val="4FB456CE"/>
    <w:rsid w:val="4FD73056"/>
    <w:rsid w:val="50630D8E"/>
    <w:rsid w:val="513D338D"/>
    <w:rsid w:val="51AE6039"/>
    <w:rsid w:val="51DD247A"/>
    <w:rsid w:val="52A35472"/>
    <w:rsid w:val="537C2D70"/>
    <w:rsid w:val="538E1C7E"/>
    <w:rsid w:val="53B813F1"/>
    <w:rsid w:val="53C27B7A"/>
    <w:rsid w:val="541C60DA"/>
    <w:rsid w:val="546D5D37"/>
    <w:rsid w:val="549D01C5"/>
    <w:rsid w:val="54E029AD"/>
    <w:rsid w:val="54FC530D"/>
    <w:rsid w:val="55287EB0"/>
    <w:rsid w:val="55482300"/>
    <w:rsid w:val="554E3DBB"/>
    <w:rsid w:val="55801A9A"/>
    <w:rsid w:val="56026953"/>
    <w:rsid w:val="56521689"/>
    <w:rsid w:val="565A053D"/>
    <w:rsid w:val="56903F5F"/>
    <w:rsid w:val="569B4164"/>
    <w:rsid w:val="56E04EE6"/>
    <w:rsid w:val="56F123F5"/>
    <w:rsid w:val="570F757A"/>
    <w:rsid w:val="571132F2"/>
    <w:rsid w:val="57B974E6"/>
    <w:rsid w:val="57C06AC6"/>
    <w:rsid w:val="581E5F10"/>
    <w:rsid w:val="5827444F"/>
    <w:rsid w:val="58450D79"/>
    <w:rsid w:val="586A79B6"/>
    <w:rsid w:val="587A1399"/>
    <w:rsid w:val="58EF1411"/>
    <w:rsid w:val="597B0EF6"/>
    <w:rsid w:val="599E4BE5"/>
    <w:rsid w:val="59B60181"/>
    <w:rsid w:val="59B91A1F"/>
    <w:rsid w:val="5A565065"/>
    <w:rsid w:val="5A5B3819"/>
    <w:rsid w:val="5A6000EC"/>
    <w:rsid w:val="5A9102A6"/>
    <w:rsid w:val="5AFD5A55"/>
    <w:rsid w:val="5B0D3EF0"/>
    <w:rsid w:val="5B0D5B7E"/>
    <w:rsid w:val="5B1E7D8B"/>
    <w:rsid w:val="5B653C0C"/>
    <w:rsid w:val="5B9B13DC"/>
    <w:rsid w:val="5B9C33A6"/>
    <w:rsid w:val="5BCF552A"/>
    <w:rsid w:val="5BD05350"/>
    <w:rsid w:val="5C403D31"/>
    <w:rsid w:val="5C423F4D"/>
    <w:rsid w:val="5C936557"/>
    <w:rsid w:val="5C950521"/>
    <w:rsid w:val="5CBF5F04"/>
    <w:rsid w:val="5CDA4186"/>
    <w:rsid w:val="5CEB0141"/>
    <w:rsid w:val="5D5E5FD6"/>
    <w:rsid w:val="5D6D4FFA"/>
    <w:rsid w:val="5E251431"/>
    <w:rsid w:val="5E323B4E"/>
    <w:rsid w:val="5EA66A16"/>
    <w:rsid w:val="5EE1319E"/>
    <w:rsid w:val="5F013C4C"/>
    <w:rsid w:val="5F6917F1"/>
    <w:rsid w:val="5F875E15"/>
    <w:rsid w:val="5FB40CBE"/>
    <w:rsid w:val="5FD70E51"/>
    <w:rsid w:val="60310561"/>
    <w:rsid w:val="6098413C"/>
    <w:rsid w:val="60B9176A"/>
    <w:rsid w:val="61161505"/>
    <w:rsid w:val="619146C6"/>
    <w:rsid w:val="61FA27D9"/>
    <w:rsid w:val="620A72BB"/>
    <w:rsid w:val="623A1223"/>
    <w:rsid w:val="628C5F22"/>
    <w:rsid w:val="62D11B87"/>
    <w:rsid w:val="62EC4C13"/>
    <w:rsid w:val="62ED37C4"/>
    <w:rsid w:val="630C0E11"/>
    <w:rsid w:val="631F28F3"/>
    <w:rsid w:val="633F11E7"/>
    <w:rsid w:val="638A3090"/>
    <w:rsid w:val="63BC2837"/>
    <w:rsid w:val="63D641A4"/>
    <w:rsid w:val="63D80CF3"/>
    <w:rsid w:val="640F6430"/>
    <w:rsid w:val="642B176B"/>
    <w:rsid w:val="64405216"/>
    <w:rsid w:val="645460B2"/>
    <w:rsid w:val="64A7128D"/>
    <w:rsid w:val="64B928D3"/>
    <w:rsid w:val="64E50FD4"/>
    <w:rsid w:val="654F4FE5"/>
    <w:rsid w:val="65984BDE"/>
    <w:rsid w:val="65B70105"/>
    <w:rsid w:val="660202AA"/>
    <w:rsid w:val="66044022"/>
    <w:rsid w:val="66080F1E"/>
    <w:rsid w:val="664E34EF"/>
    <w:rsid w:val="66995501"/>
    <w:rsid w:val="67050051"/>
    <w:rsid w:val="67CA1143"/>
    <w:rsid w:val="681E586F"/>
    <w:rsid w:val="68694610"/>
    <w:rsid w:val="68954D34"/>
    <w:rsid w:val="689F0032"/>
    <w:rsid w:val="690A194F"/>
    <w:rsid w:val="695A15B4"/>
    <w:rsid w:val="697A2F79"/>
    <w:rsid w:val="697B0A9F"/>
    <w:rsid w:val="699D0A15"/>
    <w:rsid w:val="69BB0E9B"/>
    <w:rsid w:val="69C064D0"/>
    <w:rsid w:val="69C9180A"/>
    <w:rsid w:val="69F672D0"/>
    <w:rsid w:val="6A040A94"/>
    <w:rsid w:val="6A164324"/>
    <w:rsid w:val="6A5E607B"/>
    <w:rsid w:val="6A647785"/>
    <w:rsid w:val="6AAA163C"/>
    <w:rsid w:val="6AD919B4"/>
    <w:rsid w:val="6AF40B09"/>
    <w:rsid w:val="6B054AC4"/>
    <w:rsid w:val="6B560E7C"/>
    <w:rsid w:val="6B581098"/>
    <w:rsid w:val="6C7F08A6"/>
    <w:rsid w:val="6CE801F9"/>
    <w:rsid w:val="6CE81442"/>
    <w:rsid w:val="6CFE5C6F"/>
    <w:rsid w:val="6D0475EA"/>
    <w:rsid w:val="6E091EF5"/>
    <w:rsid w:val="6E0D0755"/>
    <w:rsid w:val="6E173DA3"/>
    <w:rsid w:val="6E6164B5"/>
    <w:rsid w:val="6E88598C"/>
    <w:rsid w:val="6E9C573F"/>
    <w:rsid w:val="6EBA5BC5"/>
    <w:rsid w:val="6F1277AF"/>
    <w:rsid w:val="6F956128"/>
    <w:rsid w:val="6FE56C72"/>
    <w:rsid w:val="70C579B0"/>
    <w:rsid w:val="70C64CF5"/>
    <w:rsid w:val="70F73101"/>
    <w:rsid w:val="71237A52"/>
    <w:rsid w:val="712437CA"/>
    <w:rsid w:val="71542301"/>
    <w:rsid w:val="715647A3"/>
    <w:rsid w:val="71672F07"/>
    <w:rsid w:val="7171317D"/>
    <w:rsid w:val="719678E7"/>
    <w:rsid w:val="71B2527A"/>
    <w:rsid w:val="71B55BF9"/>
    <w:rsid w:val="71CF558B"/>
    <w:rsid w:val="71DC40A5"/>
    <w:rsid w:val="72372DF9"/>
    <w:rsid w:val="72772821"/>
    <w:rsid w:val="72BE4C8F"/>
    <w:rsid w:val="72F1592E"/>
    <w:rsid w:val="73A6496A"/>
    <w:rsid w:val="73AD7AA7"/>
    <w:rsid w:val="73EB6821"/>
    <w:rsid w:val="740873D3"/>
    <w:rsid w:val="748527D2"/>
    <w:rsid w:val="74890514"/>
    <w:rsid w:val="748C149D"/>
    <w:rsid w:val="749E3893"/>
    <w:rsid w:val="74BB4445"/>
    <w:rsid w:val="74DC48C7"/>
    <w:rsid w:val="75322959"/>
    <w:rsid w:val="75671ED7"/>
    <w:rsid w:val="757075F0"/>
    <w:rsid w:val="75734D20"/>
    <w:rsid w:val="75915985"/>
    <w:rsid w:val="75FE6CDF"/>
    <w:rsid w:val="76077CC8"/>
    <w:rsid w:val="761A519B"/>
    <w:rsid w:val="76A258BD"/>
    <w:rsid w:val="76D73BAF"/>
    <w:rsid w:val="77BF249E"/>
    <w:rsid w:val="7831514A"/>
    <w:rsid w:val="78650950"/>
    <w:rsid w:val="78C22246"/>
    <w:rsid w:val="79030123"/>
    <w:rsid w:val="799D3DA8"/>
    <w:rsid w:val="79B06543"/>
    <w:rsid w:val="79B646C7"/>
    <w:rsid w:val="79EA4EA3"/>
    <w:rsid w:val="7A036672"/>
    <w:rsid w:val="7A2502A9"/>
    <w:rsid w:val="7A552C46"/>
    <w:rsid w:val="7AA57C46"/>
    <w:rsid w:val="7ACD6C80"/>
    <w:rsid w:val="7AED36BF"/>
    <w:rsid w:val="7AF52088"/>
    <w:rsid w:val="7B227ED1"/>
    <w:rsid w:val="7B476A33"/>
    <w:rsid w:val="7B86755B"/>
    <w:rsid w:val="7BEF1922"/>
    <w:rsid w:val="7C611D76"/>
    <w:rsid w:val="7CBB3234"/>
    <w:rsid w:val="7CBB76D8"/>
    <w:rsid w:val="7CBC51FE"/>
    <w:rsid w:val="7D072E52"/>
    <w:rsid w:val="7D11554A"/>
    <w:rsid w:val="7D2C5A61"/>
    <w:rsid w:val="7D6C452F"/>
    <w:rsid w:val="7D6E64F9"/>
    <w:rsid w:val="7D7F0706"/>
    <w:rsid w:val="7DCA74A7"/>
    <w:rsid w:val="7DF06F0E"/>
    <w:rsid w:val="7E1E7F1F"/>
    <w:rsid w:val="7E3D5AD2"/>
    <w:rsid w:val="7E9E3E6F"/>
    <w:rsid w:val="7EF85871"/>
    <w:rsid w:val="7F24074C"/>
    <w:rsid w:val="7F58120E"/>
    <w:rsid w:val="7F9D1317"/>
    <w:rsid w:val="7FE30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
    <w:qFormat/>
    <w:uiPriority w:val="0"/>
    <w:pPr>
      <w:keepNext/>
      <w:spacing w:beforeLines="100" w:afterLines="50"/>
      <w:jc w:val="center"/>
      <w:outlineLvl w:val="0"/>
    </w:pPr>
    <w:rPr>
      <w:rFonts w:eastAsia="黑体"/>
      <w:b/>
      <w:sz w:val="44"/>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pPr>
      <w:spacing w:after="120"/>
    </w:pPr>
  </w:style>
  <w:style w:type="paragraph" w:styleId="5">
    <w:name w:val="Body Text Indent"/>
    <w:basedOn w:val="1"/>
    <w:qFormat/>
    <w:uiPriority w:val="0"/>
    <w:pPr>
      <w:ind w:firstLine="660"/>
    </w:pPr>
    <w:rPr>
      <w:rFonts w:eastAsia="仿宋_GB2312"/>
      <w:sz w:val="32"/>
    </w:rPr>
  </w:style>
  <w:style w:type="paragraph" w:styleId="6">
    <w:name w:val="Plain Text"/>
    <w:basedOn w:val="1"/>
    <w:qFormat/>
    <w:uiPriority w:val="0"/>
    <w:pPr>
      <w:spacing w:line="360" w:lineRule="auto"/>
      <w:ind w:firstLine="480" w:firstLineChars="200"/>
    </w:pPr>
    <w:rPr>
      <w:rFonts w:ascii="仿宋_GB2312"/>
      <w:sz w:val="24"/>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r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page number"/>
    <w:basedOn w:val="12"/>
    <w:semiHidden/>
    <w:qFormat/>
    <w:uiPriority w:val="0"/>
  </w:style>
  <w:style w:type="character" w:styleId="15">
    <w:name w:val="annotation reference"/>
    <w:basedOn w:val="12"/>
    <w:qFormat/>
    <w:uiPriority w:val="0"/>
    <w:rPr>
      <w:sz w:val="21"/>
      <w:szCs w:val="21"/>
    </w:rPr>
  </w:style>
  <w:style w:type="character" w:customStyle="1" w:styleId="16">
    <w:name w:val="标题 1 字符"/>
    <w:basedOn w:val="12"/>
    <w:link w:val="2"/>
    <w:qFormat/>
    <w:uiPriority w:val="0"/>
    <w:rPr>
      <w:rFonts w:eastAsia="黑体"/>
      <w:b/>
      <w:sz w:val="44"/>
    </w:rPr>
  </w:style>
  <w:style w:type="paragraph" w:customStyle="1" w:styleId="17">
    <w:name w:val="CM6"/>
    <w:basedOn w:val="18"/>
    <w:next w:val="18"/>
    <w:qFormat/>
    <w:uiPriority w:val="0"/>
    <w:pPr>
      <w:spacing w:after="15950"/>
    </w:pPr>
    <w:rPr>
      <w:color w:val="auto"/>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_Style 8"/>
    <w:basedOn w:val="1"/>
    <w:next w:val="1"/>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feb1aa0b-d078-4b33-a1b2-5f3ba9c14101</errorID>
      <errorWord>海南省海洋与渔业厅</errorWord>
      <group>L1_Other</group>
      <groupName>其他问题</groupName>
      <ability>L2_Consistency</ability>
      <abilityName>一致性检查</abilityName>
      <candidateList>
        <item>海南省海洋厅</item>
      </candidateList>
      <explain>实体一致性错误，正文开头此处写海南省海洋与渔业厅，后文推荐单位列表中统一表述为海南省海洋厅，前后实体名称不一致</explain>
      <paraID>53B6C1D6</paraID>
      <start>163</start>
      <end>169</end>
      <status>modified</status>
      <modifiedWord>海南省海洋厅</modifiedWord>
      <trackRevisions>false</trackRevisions>
    </reviewItem>
    <reviewItem>
      <errorID>7161de70-4428-4fb2-bc61-62479b245a91</errorID>
      <errorWord>厅</errorWord>
      <group>L1_Grammar</group>
      <groupName>语法问题</groupName>
      <ability>L2_Grammar</ability>
      <abilityName>语法错误</abilityName>
      <candidateList>
        <item>与渔业厅</item>
      </candidateList>
      <explain/>
      <paraID>796D836A</paraID>
      <start>175</start>
      <end>176</end>
      <status>ignored</status>
      <modifiedWord/>
      <trackRevisions>false</trackRevisions>
    </reviewItem>
    <reviewItem>
      <errorID>e46e0d6f-c0b8-4979-8f83-801c16c28e98</errorID>
      <errorWord>*</errorWord>
      <group>L1_Punc</group>
      <groupName>标点问题</groupName>
      <ability>L2_Punc_CN</ability>
      <abilityName>标点符号问题</abilityName>
      <candidateList/>
      <explain/>
      <paraID>3C2E7E89</paraID>
      <start>0</start>
      <end>1</end>
      <status>ignored</status>
      <modifiedWord/>
      <trackRevisions>false</trackRevisions>
    </reviewItem>
    <reviewItem>
      <errorID>0a5cebeb-cc65-4228-b3bd-14b6f743a019</errorID>
      <errorWord>*</errorWord>
      <group>L1_Punc</group>
      <groupName>标点问题</groupName>
      <ability>L2_Punc_CN</ability>
      <abilityName>标点符号问题</abilityName>
      <candidateList/>
      <explain/>
      <paraID>44C4830A</paraID>
      <start>0</start>
      <end>1</end>
      <status>ignored</status>
      <modifiedWord/>
      <trackRevisions>false</trackRevisions>
    </reviewItem>
    <reviewItem>
      <errorID>8765b1ed-47b3-454d-9818-b2966749f361</errorID>
      <errorWord>为</errorWord>
      <group>L1_Word</group>
      <groupName>字词问题</groupName>
      <ability>L2_Typo</ability>
      <abilityName>字词错误</abilityName>
      <candidateList>
        <item>分为</item>
      </candidateList>
      <explain/>
      <paraID>6CF63674</paraID>
      <start>38</start>
      <end>39</end>
      <status>ignored</status>
      <modifiedWord/>
      <trackRevisions>false</trackRevisions>
    </reviewItem>
    <reviewItem>
      <errorID>401dd83e-0091-431b-a850-a27e7be78f70</errorID>
      <errorWord>包含是</errorWord>
      <group>L1_Word</group>
      <groupName>字词问题</groupName>
      <ability>L2_Typo</ability>
      <abilityName>字词错误</abilityName>
      <candidateList>
        <item>包含</item>
      </candidateList>
      <explain/>
      <paraID>155E7203</paraID>
      <start>7</start>
      <end>10</end>
      <status>ignored</status>
      <modifiedWord/>
      <trackRevisions>false</trackRevisions>
    </reviewItem>
    <reviewItem>
      <errorID>fe558343-948b-4af7-98a6-8dae3a517f3d</errorID>
      <errorWord>完成</errorWord>
      <group>L1_Grammar</group>
      <groupName>语法问题</groupName>
      <ability>L2_Grammar</ability>
      <abilityName>语法错误</abilityName>
      <candidateList>
        <item>，其完成</item>
      </candidateList>
      <explain/>
      <paraID>71BA8428</paraID>
      <start>90</start>
      <end>92</end>
      <status>ignored</status>
      <modifiedWord/>
      <trackRevisions>false</trackRevisions>
    </reviewItem>
    <reviewItem>
      <errorID>e8525f64-866b-4e6b-8857-d44dc5aeec90</errorID>
      <errorWord>超</errorWord>
      <group>L1_Word</group>
      <groupName>字词问题</groupName>
      <ability>L2_Typo</ability>
      <abilityName>字词错误</abilityName>
      <candidateList>
        <item>超过</item>
      </candidateList>
      <explain/>
      <paraID>71BA8428</paraID>
      <start>95</start>
      <end>96</end>
      <status>ignored</status>
      <modifiedWord/>
      <trackRevisions>false</trackRevisions>
    </reviewItem>
    <reviewItem>
      <errorID>acbcaa52-92b3-4624-8fb7-da26557fc2f5</errorID>
      <errorWord>，</errorWord>
      <group>L1_Punc</group>
      <groupName>标点问题</groupName>
      <ability>L2_Punc_CN</ability>
      <abilityName>标点符号问题</abilityName>
      <candidateList>
        <item>；</item>
      </candidateList>
      <explain/>
      <paraID>71BA8428</paraID>
      <start>99</start>
      <end>100</end>
      <status>unmodified</status>
      <modifiedWord/>
      <trackRevisions>false</trackRevisions>
    </reviewItem>
    <reviewItem>
      <errorID>95ddfc02-e833-4a1b-b7f7-6454b45fbed7</errorID>
      <errorWord>完成</errorWord>
      <group>L1_Grammar</group>
      <groupName>语法问题</groupName>
      <ability>L2_Grammar</ability>
      <abilityName>语法错误</abilityName>
      <candidateList>
        <item>，其完成</item>
      </candidateList>
      <explain/>
      <paraID>71BA8428</paraID>
      <start>113</start>
      <end>115</end>
      <status>unmodified</status>
      <modifiedWord/>
      <trackRevisions>false</trackRevisions>
    </reviewItem>
    <reviewItem>
      <errorID>80846927-f11b-4e11-9623-74a2925c9aee</errorID>
      <errorWord>超</errorWord>
      <group>L1_Word</group>
      <groupName>字词问题</groupName>
      <ability>L2_Typo</ability>
      <abilityName>字词错误</abilityName>
      <candidateList>
        <item>超过</item>
      </candidateList>
      <explain/>
      <paraID>71BA8428</paraID>
      <start>118</start>
      <end>119</end>
      <status>unmodified</status>
      <modifiedWord/>
      <trackRevisions>false</trackRevisions>
    </reviewItem>
    <reviewItem>
      <errorID>0b72540a-5671-4155-ba1d-3a37425d1b6c</errorID>
      <errorWord>超</errorWord>
      <group>L1_Word</group>
      <groupName>字词问题</groupName>
      <ability>L2_Typo</ability>
      <abilityName>字词错误</abilityName>
      <candidateList>
        <item>超过</item>
      </candidateList>
      <explain/>
      <paraID>5FDFEF7D</paraID>
      <start>99</start>
      <end>100</end>
      <status>unmodified</status>
      <modifiedWord/>
      <trackRevisions>false</trackRevisions>
    </reviewItem>
    <reviewItem>
      <errorID>6b604f14-2fc0-4254-97f4-a11c040132f9</errorID>
      <errorWord>：</errorWord>
      <group>L1_Punc</group>
      <groupName>标点问题</groupName>
      <ability>L2_Punc_CN</ability>
      <abilityName>标点符号问题</abilityName>
      <candidateList>
        <item/>
      </candidateList>
      <explain/>
      <paraID>5D2B735D</paraID>
      <start>51</start>
      <end>52</end>
      <status>unmodified</status>
      <modifiedWord/>
      <trackRevisions>false</trackRevisions>
    </reviewItem>
    <reviewItem>
      <errorID>80a7ce99-de64-4c69-a7d8-3a4f2dd9c5b0</errorID>
      <errorWord>引文</errorWord>
      <group>L1_Word</group>
      <groupName>字词问题</groupName>
      <ability>L2_Typo</ability>
      <abilityName>字词错误</abilityName>
      <candidateList>
        <item>的引文</item>
      </candidateList>
      <explain/>
      <paraID>53176987</paraID>
      <start>23</start>
      <end>25</end>
      <status>unmodified</status>
      <modifiedWord/>
      <trackRevisions>false</trackRevisions>
    </reviewItem>
    <reviewItem>
      <errorID>6a167d3d-76db-4c73-8c9f-4e99e0494a49</errorID>
      <errorWord>包含是</errorWord>
      <group>L1_Word</group>
      <groupName>字词问题</groupName>
      <ability>L2_Typo</ability>
      <abilityName>字词错误</abilityName>
      <candidateList>
        <item>包含</item>
      </candidateList>
      <explain/>
      <paraID>363019F9</paraID>
      <start>7</start>
      <end>10</end>
      <status>unmodified</status>
      <modifiedWord/>
      <trackRevisions>false</trackRevisions>
    </reviewItem>
    <reviewItem>
      <errorID>1bc27100-fc14-4966-a258-e1d6584916e4</errorID>
      <errorWord>的完成</errorWord>
      <group>L1_Word</group>
      <groupName>字词问题</groupName>
      <ability>L2_Typo</ability>
      <abilityName>字词错误</abilityName>
      <candidateList>
        <item>中的应用</item>
      </candidateList>
      <explain/>
      <paraID>363019F9</paraID>
      <start>14</start>
      <end>17</end>
      <status>unmodified</status>
      <modifiedWord/>
      <trackRevisions>false</trackRevisions>
    </reviewItem>
    <reviewItem>
      <errorID>28c70eed-9c0a-4595-b184-5740b8b40c9c</errorID>
      <errorWord>专著</errorWord>
      <group>L1_Punc</group>
      <groupName>标点问题</groupName>
      <ability>L2_Punc_CN</ability>
      <abilityName>标点符号问题</abilityName>
      <candidateList>
        <item>、专著</item>
      </candidateList>
      <explain/>
      <paraID>76296A0D</paraID>
      <start>35</start>
      <end>37</end>
      <status>unmodified</status>
      <modifiedWord/>
      <trackRevisions>false</trackRevisions>
    </reviewItem>
    <reviewItem>
      <errorID>c6a7b4dc-b91d-4e69-b36b-7967393e132d</errorID>
      <errorWord>该</errorWord>
      <group>L1_Word</group>
      <groupName>字词问题</groupName>
      <ability>L2_Typo</ability>
      <abilityName>字词错误</abilityName>
      <candidateList>
        <item>这些</item>
      </candidateList>
      <explain/>
      <paraID>76296A0D</paraID>
      <start>45</start>
      <end>46</end>
      <status>unmodified</status>
      <modifiedWord/>
      <trackRevisions>false</trackRevisions>
    </reviewItem>
    <reviewItem>
      <errorID>d4480db1-0269-4e09-9d5e-add9337701ed</errorID>
      <errorWord>仅限于</errorWord>
      <group>L1_Grammar</group>
      <groupName>语法问题</groupName>
      <ability>L2_Grammar</ability>
      <abilityName>语法错误</abilityName>
      <candidateList>
        <item>、专著仅限于</item>
      </candidateList>
      <explain/>
      <paraID>76296A0D</paraID>
      <start>48</start>
      <end>51</end>
      <status>unmodified</status>
      <modifiedWord/>
      <trackRevisions>false</trackRevisions>
    </reviewItem>
    <reviewItem>
      <errorID>268befd0-f059-4fb7-993c-8074a24fdbfb</errorID>
      <errorWord>以外</errorWord>
      <group>L1_Word</group>
      <groupName>字词问题</groupName>
      <ability>L2_Typo</ability>
      <abilityName>字词错误</abilityName>
      <candidateList>
        <item>之外</item>
      </candidateList>
      <explain/>
      <paraID>76296A0D</paraID>
      <start>227</start>
      <end>229</end>
      <status>unmodified</status>
      <modifiedWord/>
      <trackRevisions>false</trackRevisions>
    </reviewItem>
    <reviewItem>
      <errorID>abc17361-7944-4791-99e1-739b8be16924</errorID>
      <errorWord>引文</errorWord>
      <group>L1_Grammar</group>
      <groupName>语法问题</groupName>
      <ability>L2_Grammar</ability>
      <abilityName>语法错误</abilityName>
      <candidateList>
        <item>被引用的论文、</item>
      </candidateList>
      <explain/>
      <paraID>3519E1F6</paraID>
      <start>51</start>
      <end>53</end>
      <status>unmodified</status>
      <modifiedWord/>
      <trackRevisions>false</trackRevisions>
    </reviewItem>
    <reviewItem>
      <errorID>ec52907c-1c61-43ae-b327-a787e5bd465f</errorID>
      <errorWord>超</errorWord>
      <group>L1_Word</group>
      <groupName>字词问题</groupName>
      <ability>L2_Typo</ability>
      <abilityName>字词错误</abilityName>
      <candidateList>
        <item>超过</item>
      </candidateList>
      <explain/>
      <paraID>20C875A6</paraID>
      <start>99</start>
      <end>100</end>
      <status>unmodified</status>
      <modifiedWord/>
      <trackRevisions>false</trackRevisions>
    </reviewItem>
    <reviewItem>
      <errorID>86035688-800b-4b9e-aa2c-bae0476a1eb0</errorID>
      <errorWord>于</errorWord>
      <group>L1_Grammar</group>
      <groupName>语法问题</groupName>
      <ability>L2_Grammar</ability>
      <abilityName>语法错误</abilityName>
      <candidateList>
        <item>起始时间在</item>
      </candidateList>
      <explain/>
      <paraID>6E0493E8</paraID>
      <start>39</start>
      <end>40</end>
      <status>unmodified</status>
      <modifiedWord/>
      <trackRevisions>false</trackRevisions>
    </reviewItem>
    <reviewItem>
      <errorID>60641724-461e-4fbb-8531-b4e86c75a973</errorID>
      <errorWord>于</errorWord>
      <group>L1_Grammar</group>
      <groupName>语法问题</groupName>
      <ability>L2_Grammar</ability>
      <abilityName>语法错误</abilityName>
      <candidateList>
        <item>起始时间在</item>
      </candidateList>
      <explain/>
      <paraID>6E0493E8</paraID>
      <start>81</start>
      <end>82</end>
      <status>unmodified</status>
      <modifiedWord/>
      <trackRevisions>false</trackRevisions>
    </reviewItem>
    <reviewItem>
      <errorID>fee45337-031d-4f3b-a8df-1140b9585d74</errorID>
      <errorWord>提交</errorWord>
      <group>L1_Grammar</group>
      <groupName>语法问题</groupName>
      <ability>L2_Grammar</ability>
      <abilityName>语法错误</abilityName>
      <candidateList>
        <item>专利提交</item>
      </candidateList>
      <explain/>
      <paraID>444D867D</paraID>
      <start>89</start>
      <end>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95402-197A-4847-A186-8EE60C41D83C}">
  <ds:schemaRefs/>
</ds:datastoreItem>
</file>

<file path=docProps/app.xml><?xml version="1.0" encoding="utf-8"?>
<Properties xmlns="http://schemas.openxmlformats.org/officeDocument/2006/extended-properties" xmlns:vt="http://schemas.openxmlformats.org/officeDocument/2006/docPropsVTypes">
  <Template>Normal.dotm</Template>
  <Pages>6</Pages>
  <Words>4041</Words>
  <Characters>4309</Characters>
  <Lines>1326</Lines>
  <Paragraphs>606</Paragraphs>
  <TotalTime>0</TotalTime>
  <ScaleCrop>false</ScaleCrop>
  <LinksUpToDate>false</LinksUpToDate>
  <CharactersWithSpaces>4357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2024-04-09T06:35:00Z</dcterms:created>
  <dc:creator>丹凤</dc:creator>
  <cp:lastModifiedBy>Xue Wang</cp:lastModifiedBy>
  <cp:lastPrinted>2026-07-24T01:43:00Z</cp:lastPrinted>
  <dcterms:modified xsi:type="dcterms:W3CDTF">2026-09-07T02:41:40Z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B139E4287E114F279A9E0D38A9568009_13</vt:lpwstr>
  </property>
  <property fmtid="{D5CDD505-2E9C-101B-9397-08002B2CF9AE}" pid="4" name="KSOTemplateDocerSaveRecord">
    <vt:lpwstr>eyJoZGlkIjoiM2RlZGYyZjU4OGNkZWIzYTg1YTBiNWQ4NmM3MjQ2N2EiLCJ1c2VySWQiOiI0NDc2NDAxMDMifQ==</vt:lpwstr>
  </property>
</Properties>
</file>