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EBBDE">
      <w:pPr>
        <w:snapToGrid w:val="0"/>
        <w:spacing w:before="156" w:beforeLines="50" w:line="40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202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年度江西省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自然科学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奖提名项目公示</w:t>
      </w:r>
    </w:p>
    <w:p w14:paraId="53ABE94A">
      <w:pPr>
        <w:autoSpaceDE w:val="0"/>
        <w:autoSpaceDN w:val="0"/>
        <w:adjustRightInd w:val="0"/>
        <w:snapToGrid w:val="0"/>
        <w:spacing w:before="156" w:beforeLines="50" w:line="400" w:lineRule="exact"/>
        <w:rPr>
          <w:rFonts w:hint="eastAsia" w:ascii="仿宋" w:hAnsi="仿宋" w:eastAsia="仿宋" w:cs="仿宋"/>
          <w:b/>
          <w:snapToGrid w:val="0"/>
          <w:kern w:val="0"/>
          <w:sz w:val="28"/>
          <w:szCs w:val="28"/>
        </w:rPr>
      </w:pPr>
    </w:p>
    <w:p w14:paraId="1DD69694">
      <w:pPr>
        <w:numPr>
          <w:ilvl w:val="0"/>
          <w:numId w:val="1"/>
        </w:numPr>
        <w:autoSpaceDE w:val="0"/>
        <w:autoSpaceDN w:val="0"/>
        <w:adjustRightInd w:val="0"/>
        <w:snapToGrid w:val="0"/>
        <w:spacing w:before="156" w:beforeLines="50" w:line="400" w:lineRule="exact"/>
        <w:ind w:firstLine="602" w:firstLineChars="200"/>
        <w:rPr>
          <w:rFonts w:hint="eastAsia" w:ascii="仿宋" w:hAnsi="仿宋" w:eastAsia="仿宋" w:cs="仿宋"/>
          <w:b/>
          <w:snapToGrid w:val="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snapToGrid w:val="0"/>
          <w:kern w:val="0"/>
          <w:sz w:val="30"/>
          <w:szCs w:val="30"/>
        </w:rPr>
        <w:t>项目名称</w:t>
      </w:r>
      <w:r>
        <w:rPr>
          <w:rFonts w:hint="eastAsia" w:ascii="仿宋" w:hAnsi="仿宋" w:eastAsia="仿宋" w:cs="仿宋"/>
          <w:b/>
          <w:snapToGrid w:val="0"/>
          <w:kern w:val="0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b/>
          <w:snapToGrid w:val="0"/>
          <w:kern w:val="0"/>
          <w:sz w:val="30"/>
          <w:szCs w:val="30"/>
          <w:lang w:val="en-US" w:eastAsia="zh-CN"/>
        </w:rPr>
        <w:t>半线性椭圆方程奇异解的定性理论研究</w:t>
      </w:r>
    </w:p>
    <w:p w14:paraId="693AE6F3">
      <w:pPr>
        <w:pStyle w:val="3"/>
        <w:numPr>
          <w:ilvl w:val="0"/>
          <w:numId w:val="0"/>
        </w:numPr>
        <w:rPr>
          <w:rFonts w:hint="default"/>
          <w:lang w:val="en-US" w:eastAsia="zh-CN"/>
        </w:rPr>
      </w:pPr>
    </w:p>
    <w:p w14:paraId="518B07AA">
      <w:pPr>
        <w:numPr>
          <w:ilvl w:val="0"/>
          <w:numId w:val="0"/>
        </w:numPr>
        <w:autoSpaceDE w:val="0"/>
        <w:autoSpaceDN w:val="0"/>
        <w:adjustRightInd w:val="0"/>
        <w:snapToGrid w:val="0"/>
        <w:spacing w:before="156" w:beforeLines="50" w:line="400" w:lineRule="exact"/>
        <w:ind w:firstLine="602" w:firstLineChars="200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snapToGrid w:val="0"/>
          <w:kern w:val="0"/>
          <w:sz w:val="30"/>
          <w:szCs w:val="30"/>
          <w:lang w:val="en-US" w:eastAsia="zh-CN"/>
        </w:rPr>
        <w:t>二、</w:t>
      </w:r>
      <w:r>
        <w:rPr>
          <w:rFonts w:hint="eastAsia" w:ascii="仿宋" w:hAnsi="仿宋" w:eastAsia="仿宋" w:cs="仿宋"/>
          <w:b/>
          <w:snapToGrid w:val="0"/>
          <w:kern w:val="0"/>
          <w:sz w:val="30"/>
          <w:szCs w:val="30"/>
        </w:rPr>
        <w:t>提名者</w:t>
      </w:r>
      <w:r>
        <w:rPr>
          <w:rFonts w:hint="eastAsia" w:ascii="仿宋" w:hAnsi="仿宋" w:eastAsia="仿宋" w:cs="仿宋"/>
          <w:b/>
          <w:snapToGrid w:val="0"/>
          <w:kern w:val="0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b/>
          <w:snapToGrid w:val="0"/>
          <w:kern w:val="0"/>
          <w:sz w:val="30"/>
          <w:szCs w:val="30"/>
          <w:lang w:val="en-US" w:eastAsia="zh-CN"/>
        </w:rPr>
        <w:t>南昌高新技术产业开发区管理委员会</w:t>
      </w:r>
    </w:p>
    <w:p w14:paraId="58D85FC7">
      <w:pPr>
        <w:pStyle w:val="3"/>
        <w:numPr>
          <w:ilvl w:val="0"/>
          <w:numId w:val="0"/>
        </w:numPr>
        <w:rPr>
          <w:rFonts w:hint="eastAsia"/>
          <w:lang w:val="en-US" w:eastAsia="zh-CN"/>
        </w:rPr>
      </w:pPr>
    </w:p>
    <w:p w14:paraId="2EBD9887">
      <w:pPr>
        <w:numPr>
          <w:ilvl w:val="0"/>
          <w:numId w:val="0"/>
        </w:numPr>
        <w:autoSpaceDE w:val="0"/>
        <w:autoSpaceDN w:val="0"/>
        <w:adjustRightInd w:val="0"/>
        <w:snapToGrid w:val="0"/>
        <w:spacing w:before="156" w:beforeLines="50" w:line="400" w:lineRule="exact"/>
        <w:ind w:firstLine="602" w:firstLineChars="200"/>
        <w:rPr>
          <w:rFonts w:hint="eastAsia" w:ascii="仿宋" w:hAnsi="仿宋" w:eastAsia="仿宋" w:cs="仿宋"/>
          <w:b/>
          <w:snapToGrid w:val="0"/>
          <w:kern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snapToGrid w:val="0"/>
          <w:kern w:val="0"/>
          <w:sz w:val="30"/>
          <w:szCs w:val="30"/>
          <w:lang w:val="en-US" w:eastAsia="zh-CN"/>
        </w:rPr>
        <w:t>三、</w:t>
      </w:r>
      <w:r>
        <w:rPr>
          <w:rFonts w:hint="eastAsia" w:ascii="仿宋" w:hAnsi="仿宋" w:eastAsia="仿宋" w:cs="仿宋"/>
          <w:b/>
          <w:snapToGrid w:val="0"/>
          <w:kern w:val="0"/>
          <w:sz w:val="30"/>
          <w:szCs w:val="30"/>
        </w:rPr>
        <w:t>项目简介</w:t>
      </w:r>
      <w:r>
        <w:rPr>
          <w:rFonts w:hint="eastAsia" w:ascii="仿宋" w:hAnsi="仿宋" w:eastAsia="仿宋" w:cs="仿宋"/>
          <w:b/>
          <w:snapToGrid w:val="0"/>
          <w:kern w:val="0"/>
          <w:sz w:val="30"/>
          <w:szCs w:val="30"/>
          <w:lang w:eastAsia="zh-CN"/>
        </w:rPr>
        <w:t>：</w:t>
      </w:r>
    </w:p>
    <w:p w14:paraId="05DD6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该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项目属于偏微分方程领域，是基础理论研究。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u w:val="none"/>
        </w:rPr>
        <w:t>项目围绕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8"/>
          <w:szCs w:val="28"/>
          <w:lang w:val="es-CL" w:eastAsia="zh-CN" w:bidi="ar-SA"/>
        </w:rPr>
        <w:t>Hartree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u w:val="none"/>
        </w:rPr>
        <w:t>方程、奇异椭圆方程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u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u w:val="none"/>
        </w:rPr>
        <w:t>麦克斯韦规范场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8"/>
          <w:szCs w:val="28"/>
          <w:lang w:val="en-US" w:eastAsia="zh-CN" w:bidi="ar-SA"/>
        </w:rPr>
        <w:t>O(3)Sigma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u w:val="none"/>
        </w:rPr>
        <w:t>模型的控制方程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的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奇异解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u w:val="none"/>
        </w:rPr>
        <w:t>展开了深入研究，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通过引入新概念、建立新框架、创建新模型，</w:t>
      </w:r>
      <w:r>
        <w:rPr>
          <w:rFonts w:hint="eastAsia"/>
          <w:b w:val="0"/>
          <w:bCs w:val="0"/>
          <w:sz w:val="28"/>
          <w:szCs w:val="28"/>
        </w:rPr>
        <w:t>取得了具有国际领先水平的原创性成果</w:t>
      </w:r>
      <w:r>
        <w:rPr>
          <w:rFonts w:hint="eastAsia"/>
          <w:b w:val="0"/>
          <w:bCs w:val="0"/>
          <w:sz w:val="28"/>
          <w:szCs w:val="28"/>
          <w:lang w:eastAsia="zh-CN"/>
        </w:rPr>
        <w:t>。</w:t>
      </w:r>
      <w:r>
        <w:rPr>
          <w:rFonts w:hint="eastAsia"/>
          <w:b w:val="0"/>
          <w:bCs w:val="0"/>
          <w:sz w:val="28"/>
          <w:szCs w:val="28"/>
        </w:rPr>
        <w:t>在偏微分方程、非线性分析和算子理论等领域产生了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重要</w:t>
      </w:r>
      <w:r>
        <w:rPr>
          <w:rFonts w:hint="eastAsia"/>
          <w:b w:val="0"/>
          <w:bCs w:val="0"/>
          <w:sz w:val="28"/>
          <w:szCs w:val="28"/>
        </w:rPr>
        <w:t>影响力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。</w:t>
      </w:r>
      <w:r>
        <w:rPr>
          <w:rFonts w:hint="eastAsia"/>
          <w:sz w:val="28"/>
          <w:szCs w:val="28"/>
          <w:lang w:val="en-US" w:eastAsia="zh-CN"/>
        </w:rPr>
        <w:t>相关成果发表</w:t>
      </w:r>
      <w:r>
        <w:rPr>
          <w:rFonts w:hint="eastAsia"/>
          <w:sz w:val="28"/>
          <w:szCs w:val="28"/>
        </w:rPr>
        <w:t>在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>J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>Math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>Pures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>Appl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 (SCI</w:t>
      </w:r>
      <w:r>
        <w:rPr>
          <w:rFonts w:hint="eastAsia"/>
          <w:sz w:val="28"/>
          <w:szCs w:val="28"/>
          <w:lang w:val="en-US" w:eastAsia="zh-CN"/>
        </w:rPr>
        <w:t>一区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Top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eastAsia"/>
          <w:sz w:val="28"/>
          <w:szCs w:val="28"/>
        </w:rPr>
        <w:t>代表作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1)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>Nonlinear Anal.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(SCI</w:t>
      </w:r>
      <w:r>
        <w:rPr>
          <w:rFonts w:hint="eastAsia"/>
          <w:sz w:val="28"/>
          <w:szCs w:val="28"/>
          <w:lang w:val="en-US" w:eastAsia="zh-CN"/>
        </w:rPr>
        <w:t>二区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Top，</w:t>
      </w:r>
      <w:r>
        <w:rPr>
          <w:rFonts w:hint="eastAsia"/>
          <w:sz w:val="28"/>
          <w:szCs w:val="28"/>
        </w:rPr>
        <w:t>代表作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2)</w:t>
      </w:r>
      <w:r>
        <w:rPr>
          <w:rFonts w:hint="eastAsia"/>
          <w:sz w:val="28"/>
          <w:szCs w:val="28"/>
        </w:rPr>
        <w:t>、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>Tran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 xml:space="preserve"> Amer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 xml:space="preserve"> Math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 xml:space="preserve"> Soc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 (SCI</w:t>
      </w:r>
      <w:r>
        <w:rPr>
          <w:rFonts w:hint="eastAsia"/>
          <w:sz w:val="28"/>
          <w:szCs w:val="28"/>
          <w:lang w:val="en-US" w:eastAsia="zh-CN"/>
        </w:rPr>
        <w:t>二区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Top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eastAsia"/>
          <w:sz w:val="28"/>
          <w:szCs w:val="28"/>
        </w:rPr>
        <w:t>代表作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3)</w:t>
      </w:r>
      <w:r>
        <w:rPr>
          <w:rFonts w:hint="eastAsia"/>
          <w:sz w:val="28"/>
          <w:szCs w:val="28"/>
        </w:rPr>
        <w:t>、</w:t>
      </w:r>
      <w:r>
        <w:rPr>
          <w:rFonts w:hint="default" w:ascii="Times New Roman" w:hAnsi="Times New Roman" w:cs="Times New Roman"/>
          <w:sz w:val="28"/>
          <w:szCs w:val="28"/>
          <w:lang w:val="es-CL" w:eastAsia="zh-CN"/>
        </w:rPr>
        <w:t>Discrete Contin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s-CL" w:eastAsia="zh-CN"/>
        </w:rPr>
        <w:t xml:space="preserve"> Dyn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s-CL" w:eastAsia="zh-CN"/>
        </w:rPr>
        <w:t xml:space="preserve"> Syst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 (SCI</w:t>
      </w:r>
      <w:r>
        <w:rPr>
          <w:rFonts w:hint="eastAsia"/>
          <w:sz w:val="28"/>
          <w:szCs w:val="28"/>
          <w:lang w:val="en-US" w:eastAsia="zh-CN"/>
        </w:rPr>
        <w:t>三区，</w:t>
      </w:r>
      <w:r>
        <w:rPr>
          <w:rFonts w:hint="eastAsia"/>
          <w:sz w:val="28"/>
          <w:szCs w:val="28"/>
        </w:rPr>
        <w:t>代表作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>)</w:t>
      </w:r>
      <w:r>
        <w:rPr>
          <w:rFonts w:hint="eastAsia"/>
          <w:sz w:val="28"/>
          <w:szCs w:val="28"/>
        </w:rPr>
        <w:t>、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>J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 xml:space="preserve"> Funct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cs="Times New Roman"/>
          <w:sz w:val="28"/>
          <w:szCs w:val="28"/>
          <w:lang w:val="es-CL" w:eastAsia="zh-CN"/>
        </w:rPr>
        <w:t xml:space="preserve"> Anal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. (SCI</w:t>
      </w:r>
      <w:r>
        <w:rPr>
          <w:rFonts w:hint="eastAsia"/>
          <w:sz w:val="28"/>
          <w:szCs w:val="28"/>
          <w:lang w:val="en-US" w:eastAsia="zh-CN"/>
        </w:rPr>
        <w:t>一区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Top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eastAsia"/>
          <w:sz w:val="28"/>
          <w:szCs w:val="28"/>
        </w:rPr>
        <w:t>代表作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5)</w:t>
      </w:r>
      <w:r>
        <w:rPr>
          <w:rFonts w:hint="eastAsia"/>
          <w:sz w:val="28"/>
          <w:szCs w:val="28"/>
        </w:rPr>
        <w:t>等</w:t>
      </w:r>
      <w:r>
        <w:rPr>
          <w:rFonts w:hint="eastAsia"/>
          <w:sz w:val="28"/>
          <w:szCs w:val="28"/>
          <w:lang w:val="en-US" w:eastAsia="zh-CN"/>
        </w:rPr>
        <w:t>国际</w:t>
      </w:r>
      <w:r>
        <w:rPr>
          <w:rFonts w:hint="eastAsia"/>
          <w:sz w:val="28"/>
          <w:szCs w:val="28"/>
        </w:rPr>
        <w:t>权威</w:t>
      </w:r>
      <w:r>
        <w:rPr>
          <w:rFonts w:hint="eastAsia"/>
          <w:sz w:val="28"/>
          <w:szCs w:val="28"/>
          <w:lang w:val="en-US" w:eastAsia="zh-CN"/>
        </w:rPr>
        <w:t>数学</w:t>
      </w:r>
      <w:r>
        <w:rPr>
          <w:rFonts w:hint="eastAsia"/>
          <w:sz w:val="28"/>
          <w:szCs w:val="28"/>
        </w:rPr>
        <w:t>期刊。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项目受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项国家自然科学基金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和1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项江西省自然科学基金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重点项目的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资助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项目的主要科学发现点如下：</w:t>
      </w:r>
    </w:p>
    <w:p w14:paraId="42E72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u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u w:val="none"/>
        </w:rPr>
        <w:t>双指数</w:t>
      </w:r>
      <w:r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u w:val="none"/>
        </w:rPr>
        <w:t>Hartree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u w:val="none"/>
        </w:rPr>
        <w:t>方程的奇性理论与分类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u w:val="none"/>
          <w:lang w:eastAsia="zh-CN"/>
        </w:rPr>
        <w:t>。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8"/>
          <w:szCs w:val="28"/>
          <w:lang w:val="es-CL" w:eastAsia="zh-CN" w:bidi="ar-SA"/>
        </w:rPr>
        <w:t>Hartree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方程起源于计算多电子系统波函数的物理模型。在多粒子系统中，粒子的相互作用是长距离的，每两粒子间的作用遵循相同定理：如当粒子为玻色子时，粒子间遵循万有引力定律，这类多粒子系统运动可由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8"/>
          <w:szCs w:val="28"/>
          <w:lang w:val="es-CL" w:eastAsia="zh-CN" w:bidi="ar-SA"/>
        </w:rPr>
        <w:t>Hartree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方程刻画</w:t>
      </w:r>
      <w:r>
        <w:rPr>
          <w:rFonts w:hint="eastAsia" w:cs="宋体"/>
          <w:b w:val="0"/>
          <w:bCs w:val="0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该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方程是量子物理、凝聚态物理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量子化学中重要方程之一。项目首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例</w:t>
      </w:r>
      <w:r>
        <w:rPr>
          <w:rFonts w:hint="eastAsia" w:cs="宋体"/>
          <w:b w:val="0"/>
          <w:bCs w:val="0"/>
          <w:color w:val="000000"/>
          <w:sz w:val="28"/>
          <w:szCs w:val="28"/>
          <w:lang w:val="en-US" w:eastAsia="zh-CN"/>
        </w:rPr>
        <w:t>给出了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半空间上双指数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8"/>
          <w:szCs w:val="28"/>
          <w:lang w:val="es-CL" w:eastAsia="zh-CN" w:bidi="ar-SA"/>
        </w:rPr>
        <w:t>Hartree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方程的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8"/>
          <w:szCs w:val="28"/>
          <w:lang w:val="es-CL" w:eastAsia="zh-CN" w:bidi="ar-SA"/>
        </w:rPr>
        <w:t>Serrin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临界曲线，完整划分了正解存在与不存在的参数区域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在次临界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时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通过迭代和双指数</w:t>
      </w:r>
      <w:r>
        <w:rPr>
          <w:rFonts w:hint="eastAsia" w:cs="宋体"/>
          <w:b w:val="0"/>
          <w:bCs w:val="0"/>
          <w:color w:val="000000"/>
          <w:sz w:val="28"/>
          <w:szCs w:val="28"/>
          <w:lang w:val="en-US" w:eastAsia="zh-CN"/>
        </w:rPr>
        <w:t>靴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带法，证明了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存在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边界孤立奇性解，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并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精确刻画了解在原点附近的奇性</w:t>
      </w:r>
      <w:r>
        <w:rPr>
          <w:rFonts w:hint="eastAsia" w:cs="宋体"/>
          <w:b w:val="0"/>
          <w:bCs w:val="0"/>
          <w:color w:val="000000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态与无穷远处的衰减</w:t>
      </w:r>
      <w:r>
        <w:rPr>
          <w:rFonts w:hint="eastAsia" w:cs="宋体"/>
          <w:b w:val="0"/>
          <w:bCs w:val="0"/>
          <w:color w:val="000000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；在超临界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时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证明了正解的不存在性。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项目还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对全空间上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8"/>
          <w:szCs w:val="28"/>
          <w:lang w:val="es-CL" w:eastAsia="zh-CN" w:bidi="ar-SA"/>
        </w:rPr>
        <w:t>Hartree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方程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了解的完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整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分类，明确了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8"/>
          <w:szCs w:val="28"/>
          <w:lang w:val="es-CL" w:eastAsia="zh-CN" w:bidi="ar-SA"/>
        </w:rPr>
        <w:t>Serrin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临界与超临界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时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仅有零解，次临界</w:t>
      </w:r>
      <w:r>
        <w:rPr>
          <w:rFonts w:hint="eastAsia" w:cs="宋体"/>
          <w:b w:val="0"/>
          <w:bCs w:val="0"/>
          <w:color w:val="000000"/>
          <w:sz w:val="28"/>
          <w:szCs w:val="28"/>
          <w:lang w:val="en-US" w:eastAsia="zh-CN"/>
        </w:rPr>
        <w:t>时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奇性由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基本解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主导。</w:t>
      </w:r>
      <w:r>
        <w:rPr>
          <w:rFonts w:hint="eastAsia" w:cs="宋体"/>
          <w:b w:val="0"/>
          <w:bCs w:val="0"/>
          <w:color w:val="000000"/>
          <w:sz w:val="28"/>
          <w:szCs w:val="28"/>
          <w:lang w:val="en-US" w:eastAsia="zh-CN"/>
        </w:rPr>
        <w:t>该成果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揭示了非局部非线性项、区域几何</w:t>
      </w:r>
      <w:r>
        <w:rPr>
          <w:rFonts w:hint="eastAsia" w:cs="宋体"/>
          <w:b w:val="0"/>
          <w:bCs w:val="0"/>
          <w:color w:val="000000"/>
          <w:sz w:val="28"/>
          <w:szCs w:val="28"/>
          <w:lang w:val="en-US" w:eastAsia="zh-CN"/>
        </w:rPr>
        <w:t>性质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与微分算子之间的深层耦合机制，为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偏微分方程奇异解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的研究提供了新的判别准则。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见代表作</w:t>
      </w:r>
      <w:r>
        <w:rPr>
          <w:rFonts w:hint="eastAsia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和</w:t>
      </w:r>
      <w:r>
        <w:rPr>
          <w:rFonts w:hint="eastAsia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。</w:t>
      </w:r>
      <w:r>
        <w:rPr>
          <w:rFonts w:hint="eastAsia" w:cs="宋体"/>
          <w:b w:val="0"/>
          <w:bCs w:val="0"/>
          <w:color w:val="000000"/>
          <w:sz w:val="28"/>
          <w:szCs w:val="28"/>
          <w:lang w:val="en-US" w:eastAsia="zh-CN"/>
        </w:rPr>
        <w:t xml:space="preserve">  </w:t>
      </w:r>
    </w:p>
    <w:p w14:paraId="616F4C4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kern w:val="0"/>
          <w:sz w:val="28"/>
          <w:szCs w:val="28"/>
          <w:u w:val="none"/>
          <w:lang w:val="en-US" w:eastAsia="zh-CN" w:bidi="ar"/>
        </w:rPr>
        <w:t>2.奇异椭圆方程的奇性可视化与分布理论。</w:t>
      </w:r>
      <w:r>
        <w:rPr>
          <w:rFonts w:hint="eastAsia" w:ascii="Times New Roman" w:hAnsi="Times New Roman" w:cs="Times New Roman" w:eastAsiaTheme="minorEastAsia"/>
          <w:kern w:val="2"/>
          <w:sz w:val="28"/>
          <w:szCs w:val="28"/>
          <w:lang w:val="en-US" w:eastAsia="zh-CN" w:bidi="ar-SA"/>
        </w:rPr>
        <w:t>Hardy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方程是退化偏微分问题的典型代表，也是理论物理模型中核心方程之一。该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方程因位势与拉普拉斯算子的齐次性导致极点处退化，传统分布意义下无法刻画奇性，其奇性分类是长期未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解决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的公开问题。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该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项目针对分数阶</w:t>
      </w:r>
      <w:r>
        <w:rPr>
          <w:rFonts w:hint="eastAsia" w:ascii="Times New Roman" w:hAnsi="Times New Roman" w:cs="Times New Roman" w:eastAsiaTheme="minorEastAsia"/>
          <w:kern w:val="2"/>
          <w:sz w:val="28"/>
          <w:szCs w:val="28"/>
          <w:lang w:val="en-US" w:eastAsia="zh-CN" w:bidi="ar-SA"/>
        </w:rPr>
        <w:t>Hardy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算子，首创了带权分布弱解框架，成功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地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给出了算子基本解的</w:t>
      </w:r>
      <w:r>
        <w:rPr>
          <w:rFonts w:hint="eastAsia" w:ascii="Times New Roman" w:hAnsi="Times New Roman" w:cs="Times New Roman" w:eastAsiaTheme="minorEastAsia"/>
          <w:kern w:val="2"/>
          <w:sz w:val="28"/>
          <w:szCs w:val="28"/>
          <w:lang w:val="en-US" w:eastAsia="zh-CN" w:bidi="ar-SA"/>
        </w:rPr>
        <w:t>Dirac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表达，将极点处的奇性转化为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显式分布恒等式，实现了奇性可视化。在此框架下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还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获得了非齐次项的最优可积条件，证明了泊松问题奇性解的存在性与唯一性，确定了分数阶</w:t>
      </w:r>
      <w:r>
        <w:rPr>
          <w:rFonts w:hint="eastAsia" w:ascii="Times New Roman" w:hAnsi="Times New Roman" w:cs="Times New Roman" w:eastAsiaTheme="minorEastAsia"/>
          <w:kern w:val="2"/>
          <w:sz w:val="28"/>
          <w:szCs w:val="28"/>
          <w:lang w:val="en-US" w:eastAsia="zh-CN" w:bidi="ar-SA"/>
        </w:rPr>
        <w:t>Hardy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方程在不同非线性增长下的临界指数，在临界和超临界时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获得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了正解的不存在性。对于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带测度的分数阶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椭圆方程，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该项目还研究了一族爆破解的存在性和渐近性。这些成果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丰富了对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奇异解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结构的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认识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。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见代表作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和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。</w:t>
      </w:r>
    </w:p>
    <w:p w14:paraId="0ED80FB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24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3.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u w:val="none"/>
        </w:rPr>
        <w:t>麦克斯韦规范</w:t>
      </w:r>
      <w:r>
        <w:rPr>
          <w:rFonts w:hint="eastAsia" w:ascii="Times New Roman" w:hAnsi="Times New Roman" w:cs="Times New Roman" w:eastAsiaTheme="minorEastAsia"/>
          <w:kern w:val="2"/>
          <w:sz w:val="28"/>
          <w:szCs w:val="28"/>
          <w:lang w:val="en-US" w:eastAsia="zh-CN" w:bidi="ar-SA"/>
        </w:rPr>
        <w:t>O(3)Sigma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u w:val="none"/>
        </w:rPr>
        <w:t>模型的完整解族分类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u w:val="none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海森堡铁磁体的场结构由自旋矢量与麦克斯韦场耦合描述，其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Bogomoly'nyi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自对偶方程具有深刻的物理意义。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该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项目推导出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带引力势的标量控制方程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首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给出了拓扑解与非拓扑解的完整分类：根据无穷远处爆破为负无穷、正无穷或收敛到常数三种情形，分别建立了解的存在性与渐近展开式，给出了参数的临界范围（如引力常数与磁极重数的约束）。与无引力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时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相比，引力场使方程结构更加丰富，解族多样，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这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为后续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研究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</w:rPr>
        <w:t>在黎曼流形上铁磁体场模型奠定了基础。</w:t>
      </w:r>
      <w:r>
        <w:rPr>
          <w:rFonts w:hint="eastAsia"/>
          <w:sz w:val="28"/>
          <w:szCs w:val="28"/>
          <w:lang w:val="en-US" w:eastAsia="zh-CN"/>
        </w:rPr>
        <w:t>见代表作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  <w:lang w:val="en-US" w:eastAsia="zh-CN"/>
        </w:rPr>
        <w:t>。</w:t>
      </w:r>
    </w:p>
    <w:p w14:paraId="0699FF42">
      <w:pPr>
        <w:autoSpaceDE w:val="0"/>
        <w:autoSpaceDN w:val="0"/>
        <w:adjustRightInd w:val="0"/>
        <w:snapToGrid w:val="0"/>
        <w:spacing w:before="156" w:beforeLines="50" w:line="400" w:lineRule="exact"/>
        <w:rPr>
          <w:rFonts w:hint="default" w:ascii="仿宋" w:hAnsi="仿宋" w:eastAsia="仿宋" w:cs="仿宋"/>
          <w:b/>
          <w:snapToGrid w:val="0"/>
          <w:kern w:val="0"/>
          <w:sz w:val="30"/>
          <w:szCs w:val="30"/>
          <w:lang w:val="en-US" w:eastAsia="zh-CN"/>
        </w:rPr>
      </w:pPr>
    </w:p>
    <w:p w14:paraId="4DEA13EB">
      <w:pPr>
        <w:autoSpaceDE w:val="0"/>
        <w:autoSpaceDN w:val="0"/>
        <w:adjustRightInd w:val="0"/>
        <w:snapToGrid w:val="0"/>
        <w:spacing w:before="156" w:beforeLines="50" w:line="400" w:lineRule="exact"/>
        <w:ind w:firstLine="602" w:firstLineChars="200"/>
        <w:rPr>
          <w:rFonts w:hint="eastAsia" w:ascii="仿宋" w:hAnsi="仿宋" w:eastAsia="仿宋" w:cs="仿宋"/>
          <w:b/>
          <w:snapToGrid w:val="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snapToGrid w:val="0"/>
          <w:kern w:val="0"/>
          <w:sz w:val="30"/>
          <w:szCs w:val="30"/>
        </w:rPr>
        <w:t>四、代表性论文专著目录</w:t>
      </w:r>
    </w:p>
    <w:p w14:paraId="6D981C58">
      <w:pPr>
        <w:autoSpaceDE w:val="0"/>
        <w:autoSpaceDN w:val="0"/>
        <w:adjustRightInd w:val="0"/>
        <w:snapToGrid w:val="0"/>
        <w:spacing w:before="156" w:beforeLines="50" w:line="400" w:lineRule="exact"/>
        <w:rPr>
          <w:rFonts w:hint="default" w:ascii="仿宋" w:hAnsi="仿宋" w:eastAsia="仿宋" w:cs="仿宋"/>
          <w:b/>
          <w:snapToGrid w:val="0"/>
          <w:kern w:val="0"/>
          <w:sz w:val="24"/>
          <w:szCs w:val="24"/>
        </w:rPr>
      </w:pPr>
      <w:r>
        <w:rPr>
          <w:rFonts w:hint="default" w:ascii="仿宋" w:hAnsi="仿宋" w:eastAsia="仿宋" w:cs="仿宋"/>
          <w:b/>
          <w:snapToGrid w:val="0"/>
          <w:kern w:val="0"/>
          <w:sz w:val="24"/>
          <w:szCs w:val="24"/>
        </w:rPr>
        <w:t>（</w:t>
      </w:r>
      <w:bookmarkStart w:id="0" w:name="_Hlk205214681"/>
      <w:r>
        <w:rPr>
          <w:rFonts w:hint="default" w:ascii="仿宋" w:hAnsi="仿宋" w:eastAsia="仿宋" w:cs="仿宋"/>
          <w:b/>
          <w:snapToGrid w:val="0"/>
          <w:kern w:val="0"/>
          <w:sz w:val="24"/>
          <w:szCs w:val="24"/>
        </w:rPr>
        <w:t>按重要程度排序，</w:t>
      </w:r>
      <w:bookmarkStart w:id="1" w:name="_Hlk206054768"/>
      <w:r>
        <w:rPr>
          <w:rFonts w:hint="default" w:ascii="仿宋" w:hAnsi="仿宋" w:eastAsia="仿宋" w:cs="仿宋"/>
          <w:b/>
          <w:snapToGrid w:val="0"/>
          <w:kern w:val="0"/>
          <w:sz w:val="24"/>
          <w:szCs w:val="24"/>
        </w:rPr>
        <w:t>不超过5篇。如有在国内发表（出版）的论文（专著），可附6篇</w:t>
      </w:r>
      <w:bookmarkEnd w:id="1"/>
      <w:r>
        <w:rPr>
          <w:rFonts w:hint="default" w:ascii="仿宋" w:hAnsi="仿宋" w:eastAsia="仿宋" w:cs="仿宋"/>
          <w:b/>
          <w:snapToGrid w:val="0"/>
          <w:kern w:val="0"/>
          <w:sz w:val="24"/>
          <w:szCs w:val="24"/>
        </w:rPr>
        <w:t>。</w:t>
      </w:r>
      <w:bookmarkEnd w:id="0"/>
      <w:r>
        <w:rPr>
          <w:rFonts w:hint="default" w:ascii="仿宋" w:hAnsi="仿宋" w:eastAsia="仿宋" w:cs="仿宋"/>
          <w:b/>
          <w:snapToGrid w:val="0"/>
          <w:kern w:val="0"/>
          <w:sz w:val="24"/>
          <w:szCs w:val="24"/>
        </w:rPr>
        <w:t>）</w:t>
      </w:r>
    </w:p>
    <w:tbl>
      <w:tblPr>
        <w:tblStyle w:val="5"/>
        <w:tblW w:w="94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1586"/>
        <w:gridCol w:w="1027"/>
        <w:gridCol w:w="1020"/>
        <w:gridCol w:w="793"/>
        <w:gridCol w:w="1034"/>
        <w:gridCol w:w="813"/>
        <w:gridCol w:w="741"/>
        <w:gridCol w:w="740"/>
        <w:gridCol w:w="1186"/>
      </w:tblGrid>
      <w:tr w14:paraId="19B7B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9" w:type="dxa"/>
            <w:vAlign w:val="center"/>
          </w:tcPr>
          <w:p w14:paraId="099D2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586" w:type="dxa"/>
            <w:vAlign w:val="center"/>
          </w:tcPr>
          <w:p w14:paraId="4B7DD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论文（专著）名称/刊名</w:t>
            </w:r>
          </w:p>
        </w:tc>
        <w:tc>
          <w:tcPr>
            <w:tcW w:w="1027" w:type="dxa"/>
            <w:vAlign w:val="center"/>
          </w:tcPr>
          <w:p w14:paraId="0BB03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作者（按发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4"/>
                <w:szCs w:val="24"/>
                <w:highlight w:val="none"/>
              </w:rPr>
              <w:t>表顺序）</w:t>
            </w:r>
          </w:p>
        </w:tc>
        <w:tc>
          <w:tcPr>
            <w:tcW w:w="1020" w:type="dxa"/>
            <w:vAlign w:val="center"/>
          </w:tcPr>
          <w:p w14:paraId="7C2FD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年卷页码（××年××卷××页）</w:t>
            </w:r>
          </w:p>
        </w:tc>
        <w:tc>
          <w:tcPr>
            <w:tcW w:w="793" w:type="dxa"/>
            <w:vAlign w:val="center"/>
          </w:tcPr>
          <w:p w14:paraId="68FB8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4"/>
                <w:szCs w:val="24"/>
                <w:highlight w:val="none"/>
              </w:rPr>
              <w:t>发表时间（年月日）</w:t>
            </w:r>
          </w:p>
        </w:tc>
        <w:tc>
          <w:tcPr>
            <w:tcW w:w="1034" w:type="dxa"/>
            <w:vAlign w:val="center"/>
          </w:tcPr>
          <w:p w14:paraId="682D0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4"/>
                <w:szCs w:val="24"/>
                <w:highlight w:val="none"/>
              </w:rPr>
              <w:t>通讯作者（含共同）</w:t>
            </w:r>
          </w:p>
        </w:tc>
        <w:tc>
          <w:tcPr>
            <w:tcW w:w="813" w:type="dxa"/>
            <w:vAlign w:val="center"/>
          </w:tcPr>
          <w:p w14:paraId="13417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4"/>
                <w:szCs w:val="24"/>
                <w:highlight w:val="none"/>
              </w:rPr>
              <w:t>第一作者（含共同）</w:t>
            </w:r>
          </w:p>
        </w:tc>
        <w:tc>
          <w:tcPr>
            <w:tcW w:w="741" w:type="dxa"/>
            <w:vAlign w:val="center"/>
          </w:tcPr>
          <w:p w14:paraId="1A18B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他引总次数</w:t>
            </w:r>
          </w:p>
        </w:tc>
        <w:tc>
          <w:tcPr>
            <w:tcW w:w="740" w:type="dxa"/>
            <w:vAlign w:val="center"/>
          </w:tcPr>
          <w:p w14:paraId="17B44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检索数据库</w:t>
            </w:r>
          </w:p>
        </w:tc>
        <w:tc>
          <w:tcPr>
            <w:tcW w:w="1186" w:type="dxa"/>
            <w:vAlign w:val="center"/>
          </w:tcPr>
          <w:p w14:paraId="0304E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第一署名单位是否在赣单位</w:t>
            </w:r>
          </w:p>
        </w:tc>
      </w:tr>
      <w:tr w14:paraId="64333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469" w:type="dxa"/>
            <w:vAlign w:val="center"/>
          </w:tcPr>
          <w:p w14:paraId="2E10FB2B">
            <w:pPr>
              <w:spacing w:line="240" w:lineRule="auto"/>
              <w:jc w:val="center"/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86" w:type="dxa"/>
            <w:vAlign w:val="center"/>
          </w:tcPr>
          <w:p w14:paraId="725B769C">
            <w:pPr>
              <w:spacing w:line="240" w:lineRule="auto"/>
              <w:jc w:val="center"/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s-CL" w:eastAsia="zh-CN"/>
              </w:rPr>
              <w:t>B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s-CL" w:eastAsia="zh-CN"/>
              </w:rPr>
              <w:t>oundary singularity of Choquard equation in the half space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（在半空间上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s-CL" w:eastAsia="zh-CN"/>
              </w:rPr>
              <w:t>Choquard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方程的边界奇性）/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s-CL" w:eastAsia="zh-CN"/>
              </w:rPr>
              <w:t>Journal de Mathematiques Pures et Appliquees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（纯数学与应用数学杂志）</w:t>
            </w:r>
          </w:p>
        </w:tc>
        <w:tc>
          <w:tcPr>
            <w:tcW w:w="1027" w:type="dxa"/>
            <w:vAlign w:val="center"/>
          </w:tcPr>
          <w:p w14:paraId="2F40D352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Y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ing Wang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（王 英）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, Hichem Hajaiej</w:t>
            </w:r>
          </w:p>
        </w:tc>
        <w:tc>
          <w:tcPr>
            <w:tcW w:w="1020" w:type="dxa"/>
            <w:vAlign w:val="center"/>
          </w:tcPr>
          <w:p w14:paraId="29E25B17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019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年 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126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卷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232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248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页</w:t>
            </w:r>
          </w:p>
        </w:tc>
        <w:tc>
          <w:tcPr>
            <w:tcW w:w="793" w:type="dxa"/>
            <w:vAlign w:val="center"/>
          </w:tcPr>
          <w:p w14:paraId="1CE533B9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019-06-11</w:t>
            </w:r>
          </w:p>
        </w:tc>
        <w:tc>
          <w:tcPr>
            <w:tcW w:w="1034" w:type="dxa"/>
            <w:vAlign w:val="center"/>
          </w:tcPr>
          <w:p w14:paraId="29AE2C35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Hichem Hajaiej</w:t>
            </w:r>
          </w:p>
        </w:tc>
        <w:tc>
          <w:tcPr>
            <w:tcW w:w="813" w:type="dxa"/>
            <w:vAlign w:val="center"/>
          </w:tcPr>
          <w:p w14:paraId="66A63E1A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Ying Wang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（王英）</w:t>
            </w:r>
          </w:p>
        </w:tc>
        <w:tc>
          <w:tcPr>
            <w:tcW w:w="741" w:type="dxa"/>
            <w:vAlign w:val="center"/>
          </w:tcPr>
          <w:p w14:paraId="636EDDCB">
            <w:pPr>
              <w:spacing w:line="240" w:lineRule="auto"/>
              <w:jc w:val="center"/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40" w:type="dxa"/>
            <w:vAlign w:val="center"/>
          </w:tcPr>
          <w:p w14:paraId="604736EE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科学引文索 引</w:t>
            </w:r>
          </w:p>
        </w:tc>
        <w:tc>
          <w:tcPr>
            <w:tcW w:w="1186" w:type="dxa"/>
            <w:vAlign w:val="center"/>
          </w:tcPr>
          <w:p w14:paraId="3B280CE5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是</w:t>
            </w:r>
          </w:p>
        </w:tc>
      </w:tr>
      <w:tr w14:paraId="1A2EB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0" w:hRule="atLeast"/>
          <w:jc w:val="center"/>
        </w:trPr>
        <w:tc>
          <w:tcPr>
            <w:tcW w:w="469" w:type="dxa"/>
            <w:vAlign w:val="center"/>
          </w:tcPr>
          <w:p w14:paraId="1E23E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86" w:type="dxa"/>
            <w:vAlign w:val="center"/>
          </w:tcPr>
          <w:p w14:paraId="30C23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Isolated singularities of solutions of defocusing Hartree equation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带吸收项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Hartree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方程的孤立奇性解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华文楷体" w:hAnsi="华文楷体" w:eastAsia="华文楷体" w:cs="华文楷体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Nonlinear Analysis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非线性分析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027" w:type="dxa"/>
            <w:vAlign w:val="center"/>
          </w:tcPr>
          <w:p w14:paraId="52B79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Ying Wang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（王英）</w:t>
            </w:r>
          </w:p>
        </w:tc>
        <w:tc>
          <w:tcPr>
            <w:tcW w:w="1020" w:type="dxa"/>
            <w:vAlign w:val="center"/>
          </w:tcPr>
          <w:p w14:paraId="54D0E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2017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156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卷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70-81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页</w:t>
            </w:r>
          </w:p>
        </w:tc>
        <w:tc>
          <w:tcPr>
            <w:tcW w:w="793" w:type="dxa"/>
            <w:vAlign w:val="center"/>
          </w:tcPr>
          <w:p w14:paraId="60C41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2017-6-1</w:t>
            </w:r>
          </w:p>
        </w:tc>
        <w:tc>
          <w:tcPr>
            <w:tcW w:w="1034" w:type="dxa"/>
            <w:vAlign w:val="center"/>
          </w:tcPr>
          <w:p w14:paraId="258F7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Ying Wang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（王英）</w:t>
            </w:r>
          </w:p>
        </w:tc>
        <w:tc>
          <w:tcPr>
            <w:tcW w:w="813" w:type="dxa"/>
            <w:vAlign w:val="center"/>
          </w:tcPr>
          <w:p w14:paraId="0010B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Ying Wang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（王英）</w:t>
            </w:r>
          </w:p>
        </w:tc>
        <w:tc>
          <w:tcPr>
            <w:tcW w:w="741" w:type="dxa"/>
            <w:vAlign w:val="center"/>
          </w:tcPr>
          <w:p w14:paraId="61AF3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40" w:type="dxa"/>
            <w:vAlign w:val="center"/>
          </w:tcPr>
          <w:p w14:paraId="0620D60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科学引文索 引</w:t>
            </w:r>
          </w:p>
        </w:tc>
        <w:tc>
          <w:tcPr>
            <w:tcW w:w="1186" w:type="dxa"/>
            <w:vAlign w:val="center"/>
          </w:tcPr>
          <w:p w14:paraId="0C0A854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是</w:t>
            </w:r>
          </w:p>
        </w:tc>
      </w:tr>
      <w:tr w14:paraId="44035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6" w:hRule="atLeast"/>
          <w:jc w:val="center"/>
        </w:trPr>
        <w:tc>
          <w:tcPr>
            <w:tcW w:w="469" w:type="dxa"/>
            <w:vAlign w:val="center"/>
          </w:tcPr>
          <w:p w14:paraId="7BFE6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86" w:type="dxa"/>
            <w:vAlign w:val="center"/>
          </w:tcPr>
          <w:p w14:paraId="47577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The Poisson problem for the fractional Hardy operator: Distributional identities and singular solutions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（分数阶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Hardy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算子的泊松问题：分布恒等式和奇异解）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/ Transactions of the American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Mathematical Society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（美国数学会汇刊）</w:t>
            </w:r>
          </w:p>
        </w:tc>
        <w:tc>
          <w:tcPr>
            <w:tcW w:w="1027" w:type="dxa"/>
            <w:vAlign w:val="center"/>
          </w:tcPr>
          <w:p w14:paraId="590CD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Huyuan Chen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（陈虎元）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, Tobias Weth</w:t>
            </w:r>
          </w:p>
        </w:tc>
        <w:tc>
          <w:tcPr>
            <w:tcW w:w="1020" w:type="dxa"/>
            <w:vAlign w:val="center"/>
          </w:tcPr>
          <w:p w14:paraId="33462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2021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年 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374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卷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 6881- 6925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页</w:t>
            </w:r>
          </w:p>
        </w:tc>
        <w:tc>
          <w:tcPr>
            <w:tcW w:w="793" w:type="dxa"/>
            <w:vAlign w:val="center"/>
          </w:tcPr>
          <w:p w14:paraId="370F4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2021-10-1</w:t>
            </w:r>
          </w:p>
        </w:tc>
        <w:tc>
          <w:tcPr>
            <w:tcW w:w="1034" w:type="dxa"/>
            <w:vAlign w:val="center"/>
          </w:tcPr>
          <w:p w14:paraId="59008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Tobias Weth</w:t>
            </w:r>
          </w:p>
        </w:tc>
        <w:tc>
          <w:tcPr>
            <w:tcW w:w="813" w:type="dxa"/>
            <w:vAlign w:val="center"/>
          </w:tcPr>
          <w:p w14:paraId="46799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Huyuan Chen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（陈虎元）</w:t>
            </w:r>
          </w:p>
        </w:tc>
        <w:tc>
          <w:tcPr>
            <w:tcW w:w="741" w:type="dxa"/>
            <w:vAlign w:val="center"/>
          </w:tcPr>
          <w:p w14:paraId="17A70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740" w:type="dxa"/>
            <w:vAlign w:val="center"/>
          </w:tcPr>
          <w:p w14:paraId="785E1F7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科学引文索 引</w:t>
            </w:r>
          </w:p>
        </w:tc>
        <w:tc>
          <w:tcPr>
            <w:tcW w:w="1186" w:type="dxa"/>
            <w:vAlign w:val="center"/>
          </w:tcPr>
          <w:p w14:paraId="45DBF12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是</w:t>
            </w:r>
          </w:p>
        </w:tc>
      </w:tr>
      <w:tr w14:paraId="6F245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  <w:jc w:val="center"/>
        </w:trPr>
        <w:tc>
          <w:tcPr>
            <w:tcW w:w="469" w:type="dxa"/>
            <w:vAlign w:val="center"/>
          </w:tcPr>
          <w:p w14:paraId="49ACD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86" w:type="dxa"/>
            <w:vAlign w:val="center"/>
          </w:tcPr>
          <w:p w14:paraId="44D16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Boundary blow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up solutions to fractional elliptic equations in a measure framework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ascii="TimesNewRomanPSMT" w:hAnsi="TimesNewRomanPSMT" w:eastAsia="TimesNewRomanPSMT" w:cs="TimesNewRomanPSMT"/>
                <w:color w:val="auto"/>
                <w:spacing w:val="0"/>
                <w:position w:val="0"/>
                <w:sz w:val="24"/>
                <w:szCs w:val="24"/>
                <w:shd w:val="clear" w:fill="auto"/>
              </w:rPr>
              <w:t>在测度框架下的分数阶椭圆方程的边界爆破解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/</w:t>
            </w:r>
          </w:p>
          <w:p w14:paraId="20703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Discrete and Continuous Dynamical Systems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ascii="TimesNewRomanPSMT" w:hAnsi="TimesNewRomanPSMT" w:eastAsia="TimesNewRomanPSMT" w:cs="TimesNewRomanPSMT"/>
                <w:color w:val="auto"/>
                <w:spacing w:val="0"/>
                <w:position w:val="0"/>
                <w:sz w:val="24"/>
                <w:szCs w:val="24"/>
                <w:shd w:val="clear" w:fill="auto"/>
              </w:rPr>
              <w:t>离散</w:t>
            </w:r>
            <w:r>
              <w:rPr>
                <w:rFonts w:hint="eastAsia" w:ascii="TimesNewRomanPSMT" w:hAnsi="TimesNewRomanPSMT" w:eastAsia="宋体" w:cs="TimesNewRomanPSMT"/>
                <w:color w:val="auto"/>
                <w:spacing w:val="0"/>
                <w:position w:val="0"/>
                <w:sz w:val="24"/>
                <w:szCs w:val="24"/>
                <w:shd w:val="clear" w:fill="auto"/>
                <w:lang w:val="en-US" w:eastAsia="zh-CN"/>
              </w:rPr>
              <w:t>与</w:t>
            </w:r>
            <w:r>
              <w:rPr>
                <w:rFonts w:ascii="TimesNewRomanPSMT" w:hAnsi="TimesNewRomanPSMT" w:eastAsia="TimesNewRomanPSMT" w:cs="TimesNewRomanPSMT"/>
                <w:color w:val="auto"/>
                <w:spacing w:val="0"/>
                <w:position w:val="0"/>
                <w:sz w:val="24"/>
                <w:szCs w:val="24"/>
                <w:shd w:val="clear" w:fill="auto"/>
              </w:rPr>
              <w:t>连续动力系统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027" w:type="dxa"/>
            <w:vAlign w:val="center"/>
          </w:tcPr>
          <w:p w14:paraId="017E7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Huyuan Chen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（陈虎元）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Hichem Hajaiej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，Y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ing Wang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（王 英）</w:t>
            </w:r>
          </w:p>
        </w:tc>
        <w:tc>
          <w:tcPr>
            <w:tcW w:w="1020" w:type="dxa"/>
            <w:vAlign w:val="center"/>
          </w:tcPr>
          <w:p w14:paraId="2091F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2016年36卷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1881-1903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页</w:t>
            </w:r>
          </w:p>
        </w:tc>
        <w:tc>
          <w:tcPr>
            <w:tcW w:w="793" w:type="dxa"/>
            <w:vAlign w:val="center"/>
          </w:tcPr>
          <w:p w14:paraId="17DAA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2016-4-20</w:t>
            </w:r>
          </w:p>
        </w:tc>
        <w:tc>
          <w:tcPr>
            <w:tcW w:w="1034" w:type="dxa"/>
            <w:vAlign w:val="center"/>
          </w:tcPr>
          <w:p w14:paraId="4E4E1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Hichem Hajaiej</w:t>
            </w:r>
          </w:p>
        </w:tc>
        <w:tc>
          <w:tcPr>
            <w:tcW w:w="813" w:type="dxa"/>
            <w:vAlign w:val="center"/>
          </w:tcPr>
          <w:p w14:paraId="59423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Huyuan Chen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（陈虎元）</w:t>
            </w:r>
          </w:p>
        </w:tc>
        <w:tc>
          <w:tcPr>
            <w:tcW w:w="741" w:type="dxa"/>
            <w:vAlign w:val="center"/>
          </w:tcPr>
          <w:p w14:paraId="049A4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740" w:type="dxa"/>
            <w:vAlign w:val="center"/>
          </w:tcPr>
          <w:p w14:paraId="0158085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科学引文索 引</w:t>
            </w:r>
          </w:p>
        </w:tc>
        <w:tc>
          <w:tcPr>
            <w:tcW w:w="1186" w:type="dxa"/>
            <w:vAlign w:val="center"/>
          </w:tcPr>
          <w:p w14:paraId="4EA0A6B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是</w:t>
            </w:r>
          </w:p>
        </w:tc>
      </w:tr>
      <w:tr w14:paraId="50521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7" w:hRule="atLeast"/>
          <w:jc w:val="center"/>
        </w:trPr>
        <w:tc>
          <w:tcPr>
            <w:tcW w:w="469" w:type="dxa"/>
            <w:vAlign w:val="center"/>
          </w:tcPr>
          <w:p w14:paraId="2E7F8B9C">
            <w:pPr>
              <w:spacing w:line="240" w:lineRule="auto"/>
              <w:jc w:val="center"/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86" w:type="dxa"/>
            <w:vAlign w:val="center"/>
          </w:tcPr>
          <w:p w14:paraId="35977F3A">
            <w:pPr>
              <w:spacing w:line="240" w:lineRule="auto"/>
              <w:jc w:val="center"/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Qualitative properties of solutions to semilinear elliptic equations from the gravitational Maxwell Gauged O(3) Sigma model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（来自麦克斯韦引力规范场的 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O(3)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igma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模型中的半线性椭圆方程解的定性性质）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/ Journal of Functional Analysis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（泛函分析杂志）</w:t>
            </w:r>
          </w:p>
        </w:tc>
        <w:tc>
          <w:tcPr>
            <w:tcW w:w="1027" w:type="dxa"/>
            <w:vAlign w:val="center"/>
          </w:tcPr>
          <w:p w14:paraId="7599D08B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Huyuan Chen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（陈虎元）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, Hichem Hajaiej, Laurent Veron</w:t>
            </w:r>
          </w:p>
        </w:tc>
        <w:tc>
          <w:tcPr>
            <w:tcW w:w="1020" w:type="dxa"/>
            <w:vAlign w:val="center"/>
          </w:tcPr>
          <w:p w14:paraId="32F8314E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2022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年 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282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卷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文章号 </w:t>
            </w: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109379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1-48页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93" w:type="dxa"/>
            <w:vAlign w:val="center"/>
          </w:tcPr>
          <w:p w14:paraId="431FE659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2022-4-1</w:t>
            </w:r>
          </w:p>
        </w:tc>
        <w:tc>
          <w:tcPr>
            <w:tcW w:w="1034" w:type="dxa"/>
            <w:vAlign w:val="center"/>
          </w:tcPr>
          <w:p w14:paraId="2BD15649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Laurent Veron</w:t>
            </w:r>
          </w:p>
        </w:tc>
        <w:tc>
          <w:tcPr>
            <w:tcW w:w="813" w:type="dxa"/>
            <w:vAlign w:val="center"/>
          </w:tcPr>
          <w:p w14:paraId="05F2E442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 xml:space="preserve">Huyuan Chen </w:t>
            </w: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（陈虎 元）</w:t>
            </w:r>
          </w:p>
        </w:tc>
        <w:tc>
          <w:tcPr>
            <w:tcW w:w="741" w:type="dxa"/>
            <w:vAlign w:val="center"/>
          </w:tcPr>
          <w:p w14:paraId="00597033">
            <w:pPr>
              <w:spacing w:line="240" w:lineRule="auto"/>
              <w:jc w:val="center"/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40" w:type="dxa"/>
            <w:vAlign w:val="center"/>
          </w:tcPr>
          <w:p w14:paraId="199D9D20">
            <w:pPr>
              <w:spacing w:line="240" w:lineRule="auto"/>
              <w:jc w:val="center"/>
              <w:rPr>
                <w:rFonts w:hint="default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</w:rPr>
              <w:t>科学引文索 引</w:t>
            </w:r>
          </w:p>
        </w:tc>
        <w:tc>
          <w:tcPr>
            <w:tcW w:w="1186" w:type="dxa"/>
            <w:vAlign w:val="center"/>
          </w:tcPr>
          <w:p w14:paraId="085C52FA">
            <w:pPr>
              <w:spacing w:line="240" w:lineRule="auto"/>
              <w:jc w:val="center"/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DejaVuSans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是</w:t>
            </w:r>
          </w:p>
        </w:tc>
      </w:tr>
      <w:tr w14:paraId="140FA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742" w:type="dxa"/>
            <w:gridSpan w:val="7"/>
            <w:vAlign w:val="center"/>
          </w:tcPr>
          <w:p w14:paraId="3A7EA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</w:rPr>
              <w:t>他引总次数合计</w:t>
            </w:r>
          </w:p>
        </w:tc>
        <w:tc>
          <w:tcPr>
            <w:tcW w:w="2667" w:type="dxa"/>
            <w:gridSpan w:val="3"/>
            <w:vAlign w:val="center"/>
          </w:tcPr>
          <w:p w14:paraId="4D13C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</w:tr>
    </w:tbl>
    <w:p w14:paraId="003013EB">
      <w:pPr>
        <w:autoSpaceDE w:val="0"/>
        <w:autoSpaceDN w:val="0"/>
        <w:adjustRightInd w:val="0"/>
        <w:snapToGrid w:val="0"/>
        <w:spacing w:before="156" w:beforeLines="50"/>
        <w:rPr>
          <w:rFonts w:hint="eastAsia" w:ascii="仿宋" w:hAnsi="仿宋" w:eastAsia="仿宋" w:cs="仿宋"/>
          <w:b/>
          <w:snapToGrid w:val="0"/>
          <w:kern w:val="0"/>
          <w:sz w:val="28"/>
          <w:szCs w:val="28"/>
        </w:rPr>
      </w:pPr>
    </w:p>
    <w:p w14:paraId="03BC6203">
      <w:pPr>
        <w:numPr>
          <w:ilvl w:val="0"/>
          <w:numId w:val="2"/>
        </w:numPr>
        <w:autoSpaceDE w:val="0"/>
        <w:autoSpaceDN w:val="0"/>
        <w:adjustRightInd w:val="0"/>
        <w:snapToGrid w:val="0"/>
        <w:spacing w:before="156" w:beforeLines="50"/>
        <w:rPr>
          <w:rFonts w:hint="eastAsia" w:ascii="仿宋" w:hAnsi="仿宋" w:eastAsia="仿宋" w:cs="仿宋"/>
          <w:b/>
          <w:snapToGrid w:val="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snapToGrid w:val="0"/>
          <w:kern w:val="0"/>
          <w:sz w:val="28"/>
          <w:szCs w:val="28"/>
        </w:rPr>
        <w:t>主要完成人</w:t>
      </w:r>
      <w:r>
        <w:rPr>
          <w:rFonts w:hint="eastAsia" w:ascii="仿宋" w:hAnsi="仿宋" w:eastAsia="仿宋" w:cs="仿宋"/>
          <w:b/>
          <w:snapToGrid w:val="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snapToGrid w:val="0"/>
          <w:kern w:val="0"/>
          <w:sz w:val="28"/>
          <w:szCs w:val="28"/>
          <w:lang w:val="en-US" w:eastAsia="zh-CN"/>
        </w:rPr>
        <w:t>完成单位）</w:t>
      </w:r>
      <w:r>
        <w:rPr>
          <w:rFonts w:hint="eastAsia" w:ascii="仿宋" w:hAnsi="仿宋" w:eastAsia="仿宋" w:cs="仿宋"/>
          <w:b/>
          <w:snapToGrid w:val="0"/>
          <w:kern w:val="0"/>
          <w:sz w:val="28"/>
          <w:szCs w:val="28"/>
        </w:rPr>
        <w:t>情况</w:t>
      </w:r>
    </w:p>
    <w:p w14:paraId="190195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20" w:lineRule="exact"/>
        <w:jc w:val="both"/>
        <w:textAlignment w:val="auto"/>
        <w:rPr>
          <w:rFonts w:hint="eastAsia"/>
          <w:sz w:val="24"/>
          <w:szCs w:val="24"/>
          <w:lang w:val="en-US" w:eastAsia="zh-CN"/>
        </w:rPr>
      </w:pPr>
    </w:p>
    <w:p w14:paraId="751425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王英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江西财经大学副教授，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硕士生导师，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研究方向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偏微分方程。</w:t>
      </w:r>
    </w:p>
    <w:p w14:paraId="678308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陈虎元，复旦大学副教授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,博士生导师，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研究方向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偏微分方程和非线性分析</w:t>
      </w:r>
      <w:bookmarkStart w:id="2" w:name="_GoBack"/>
      <w:bookmarkEnd w:id="2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。</w:t>
      </w:r>
    </w:p>
    <w:p w14:paraId="172A4C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iCs w:val="0"/>
          <w:caps w:val="0"/>
          <w:color w:val="0F1115"/>
          <w:spacing w:val="0"/>
          <w:sz w:val="28"/>
          <w:szCs w:val="28"/>
          <w:u w:val="none"/>
          <w:lang w:val="en-US" w:eastAsia="zh-CN"/>
        </w:rPr>
        <w:t>主要完成单位：江西师范大学。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9C306B"/>
    <w:multiLevelType w:val="singleLevel"/>
    <w:tmpl w:val="939C306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377FC65"/>
    <w:multiLevelType w:val="singleLevel"/>
    <w:tmpl w:val="D377FC6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0MWQ3MzhjMjRhM2M1ZjgzYTRlOTVkNDYxYzNmOTUifQ=="/>
  </w:docVars>
  <w:rsids>
    <w:rsidRoot w:val="57171C6B"/>
    <w:rsid w:val="06CE1DB6"/>
    <w:rsid w:val="070D0B30"/>
    <w:rsid w:val="07B40D33"/>
    <w:rsid w:val="0A424F95"/>
    <w:rsid w:val="0C874EE1"/>
    <w:rsid w:val="110D797F"/>
    <w:rsid w:val="11C10E95"/>
    <w:rsid w:val="120445BF"/>
    <w:rsid w:val="13433B2C"/>
    <w:rsid w:val="15D1404C"/>
    <w:rsid w:val="1719707D"/>
    <w:rsid w:val="199166EC"/>
    <w:rsid w:val="1A5C52C6"/>
    <w:rsid w:val="1B652214"/>
    <w:rsid w:val="1E9516DF"/>
    <w:rsid w:val="1FAB7B9C"/>
    <w:rsid w:val="1FFE5062"/>
    <w:rsid w:val="20971013"/>
    <w:rsid w:val="222039B6"/>
    <w:rsid w:val="228965CC"/>
    <w:rsid w:val="23904C4B"/>
    <w:rsid w:val="2431361A"/>
    <w:rsid w:val="24AB32DF"/>
    <w:rsid w:val="25292B82"/>
    <w:rsid w:val="27F31225"/>
    <w:rsid w:val="2890116A"/>
    <w:rsid w:val="2C212804"/>
    <w:rsid w:val="2C365B84"/>
    <w:rsid w:val="2C844B41"/>
    <w:rsid w:val="2EB55486"/>
    <w:rsid w:val="2F9257C7"/>
    <w:rsid w:val="2FF30683"/>
    <w:rsid w:val="317C672F"/>
    <w:rsid w:val="31FD161E"/>
    <w:rsid w:val="32432B1A"/>
    <w:rsid w:val="32911D66"/>
    <w:rsid w:val="3361018C"/>
    <w:rsid w:val="33C148CD"/>
    <w:rsid w:val="34B800A1"/>
    <w:rsid w:val="3522139B"/>
    <w:rsid w:val="35577297"/>
    <w:rsid w:val="35A77892"/>
    <w:rsid w:val="362D624A"/>
    <w:rsid w:val="3802365F"/>
    <w:rsid w:val="38F92413"/>
    <w:rsid w:val="3A5A39CC"/>
    <w:rsid w:val="3C642299"/>
    <w:rsid w:val="3CBA1910"/>
    <w:rsid w:val="415F6DDD"/>
    <w:rsid w:val="42B31885"/>
    <w:rsid w:val="441D16AC"/>
    <w:rsid w:val="44906321"/>
    <w:rsid w:val="44E05090"/>
    <w:rsid w:val="46DC584E"/>
    <w:rsid w:val="48117779"/>
    <w:rsid w:val="48F44BEB"/>
    <w:rsid w:val="49236AD6"/>
    <w:rsid w:val="4B143B2C"/>
    <w:rsid w:val="4BE03E48"/>
    <w:rsid w:val="4CDF6EF0"/>
    <w:rsid w:val="4D2E2B7B"/>
    <w:rsid w:val="4DA62712"/>
    <w:rsid w:val="4DE22473"/>
    <w:rsid w:val="50461F8A"/>
    <w:rsid w:val="52860D64"/>
    <w:rsid w:val="54EF0E42"/>
    <w:rsid w:val="55654DD9"/>
    <w:rsid w:val="557B26D6"/>
    <w:rsid w:val="57171C6B"/>
    <w:rsid w:val="57615E74"/>
    <w:rsid w:val="57996E43"/>
    <w:rsid w:val="57FB365A"/>
    <w:rsid w:val="61BA4586"/>
    <w:rsid w:val="636F6AD6"/>
    <w:rsid w:val="64C92001"/>
    <w:rsid w:val="64D140C0"/>
    <w:rsid w:val="64E02555"/>
    <w:rsid w:val="652E477D"/>
    <w:rsid w:val="67DD0FCE"/>
    <w:rsid w:val="67E45EB9"/>
    <w:rsid w:val="68437083"/>
    <w:rsid w:val="68E51EE8"/>
    <w:rsid w:val="69CA7424"/>
    <w:rsid w:val="6A470981"/>
    <w:rsid w:val="6AB778B5"/>
    <w:rsid w:val="6ABC136F"/>
    <w:rsid w:val="6DC04066"/>
    <w:rsid w:val="6E494CC8"/>
    <w:rsid w:val="6E4C47B8"/>
    <w:rsid w:val="717A163C"/>
    <w:rsid w:val="731741AA"/>
    <w:rsid w:val="737E0AE9"/>
    <w:rsid w:val="74AF5AA0"/>
    <w:rsid w:val="75575F1C"/>
    <w:rsid w:val="764D1B91"/>
    <w:rsid w:val="771F684C"/>
    <w:rsid w:val="783146B6"/>
    <w:rsid w:val="78EE4DE9"/>
    <w:rsid w:val="7BE626AE"/>
    <w:rsid w:val="7DE20C95"/>
    <w:rsid w:val="7E3E250B"/>
    <w:rsid w:val="7E4C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semiHidden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4">
    <w:name w:val="Plain Text"/>
    <w:basedOn w:val="1"/>
    <w:qFormat/>
    <w:uiPriority w:val="99"/>
    <w:pPr>
      <w:spacing w:line="360" w:lineRule="auto"/>
      <w:ind w:firstLine="480" w:firstLineChars="200"/>
    </w:pPr>
    <w:rPr>
      <w:rFonts w:ascii="仿宋_GB2312" w:hAnsi="Calibri" w:eastAsia="宋体" w:cs="Times New Roman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696</Words>
  <Characters>852</Characters>
  <Lines>0</Lines>
  <Paragraphs>0</Paragraphs>
  <TotalTime>0</TotalTime>
  <ScaleCrop>false</ScaleCrop>
  <LinksUpToDate>false</LinksUpToDate>
  <CharactersWithSpaces>871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2024-12-02T06:59:00Z</dcterms:created>
  <dc:creator>江强波</dc:creator>
  <cp:lastModifiedBy>wang +</cp:lastModifiedBy>
  <dcterms:modified xsi:type="dcterms:W3CDTF">2026-10-29T01:51:14Z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A891F0C776DA49B38165B0496B72A80A_13</vt:lpwstr>
  </property>
  <property fmtid="{D5CDD505-2E9C-101B-9397-08002B2CF9AE}" pid="4" name="KSOTemplateDocerSaveRecord">
    <vt:lpwstr>eyJoZGlkIjoiNzI1MzljODBiNDliMzEyMzFlZWNlN2EzYjU0N2YzMWEiLCJ1c2VySWQiOiI3NzY5OTA4NTgifQ==</vt:lpwstr>
  </property>
</Properties>
</file>