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45D8E">
      <w:pPr>
        <w:spacing w:before="145" w:line="219" w:lineRule="auto"/>
        <w:ind w:left="3510"/>
        <w:rPr>
          <w:rFonts w:ascii="宋体" w:hAnsi="宋体" w:eastAsia="宋体" w:cs="宋体"/>
          <w:sz w:val="39"/>
          <w:szCs w:val="39"/>
        </w:rPr>
      </w:pPr>
      <w:bookmarkStart w:id="0" w:name="_GoBack"/>
      <w:r>
        <w:rPr>
          <w:rFonts w:ascii="宋体" w:hAnsi="宋体" w:eastAsia="宋体" w:cs="宋体"/>
          <w:b/>
          <w:bCs/>
          <w:spacing w:val="-29"/>
          <w:sz w:val="39"/>
          <w:szCs w:val="39"/>
        </w:rPr>
        <w:t>2026年第二批数据要素应用场景“产品清单”征集表</w:t>
      </w:r>
      <w:bookmarkEnd w:id="0"/>
    </w:p>
    <w:p w14:paraId="22765933">
      <w:pPr>
        <w:spacing w:before="256" w:line="219" w:lineRule="auto"/>
        <w:ind w:left="1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3"/>
          <w:sz w:val="28"/>
          <w:szCs w:val="28"/>
        </w:rPr>
        <w:t>推荐单位：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     </w:t>
      </w:r>
      <w:r>
        <w:rPr>
          <w:rFonts w:ascii="宋体" w:hAnsi="宋体" w:eastAsia="宋体" w:cs="宋体"/>
          <w:color w:val="505070"/>
          <w:spacing w:val="3"/>
          <w:sz w:val="28"/>
          <w:szCs w:val="28"/>
        </w:rPr>
        <w:t>(加盖单位公章)</w:t>
      </w:r>
    </w:p>
    <w:p w14:paraId="788D40C3">
      <w:pPr>
        <w:spacing w:line="103" w:lineRule="exact"/>
      </w:pPr>
    </w:p>
    <w:tbl>
      <w:tblPr>
        <w:tblStyle w:val="5"/>
        <w:tblW w:w="150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5"/>
        <w:gridCol w:w="1479"/>
        <w:gridCol w:w="689"/>
        <w:gridCol w:w="969"/>
        <w:gridCol w:w="4527"/>
        <w:gridCol w:w="2988"/>
        <w:gridCol w:w="1519"/>
        <w:gridCol w:w="1479"/>
        <w:gridCol w:w="934"/>
      </w:tblGrid>
      <w:tr w14:paraId="70BF1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455" w:type="dxa"/>
            <w:textDirection w:val="tbRlV"/>
            <w:vAlign w:val="top"/>
          </w:tcPr>
          <w:p w14:paraId="79E7653C">
            <w:pPr>
              <w:pStyle w:val="4"/>
              <w:spacing w:before="124" w:line="199" w:lineRule="auto"/>
              <w:ind w:left="459"/>
            </w:pPr>
            <w:r>
              <w:rPr>
                <w:b/>
                <w:bCs/>
                <w:spacing w:val="-3"/>
              </w:rPr>
              <w:t>序</w:t>
            </w:r>
            <w:r>
              <w:rPr>
                <w:spacing w:val="18"/>
              </w:rPr>
              <w:t xml:space="preserve"> </w:t>
            </w:r>
            <w:r>
              <w:rPr>
                <w:b/>
                <w:bCs/>
                <w:spacing w:val="-3"/>
              </w:rPr>
              <w:t>号</w:t>
            </w:r>
          </w:p>
        </w:tc>
        <w:tc>
          <w:tcPr>
            <w:tcW w:w="1479" w:type="dxa"/>
            <w:vAlign w:val="top"/>
          </w:tcPr>
          <w:p w14:paraId="1D7ABD6D">
            <w:pPr>
              <w:spacing w:line="290" w:lineRule="auto"/>
              <w:rPr>
                <w:rFonts w:ascii="Arial"/>
                <w:sz w:val="21"/>
              </w:rPr>
            </w:pPr>
          </w:p>
          <w:p w14:paraId="0CC6BD63">
            <w:pPr>
              <w:spacing w:line="290" w:lineRule="auto"/>
              <w:rPr>
                <w:rFonts w:ascii="Arial"/>
                <w:sz w:val="21"/>
              </w:rPr>
            </w:pPr>
          </w:p>
          <w:p w14:paraId="48734196">
            <w:pPr>
              <w:pStyle w:val="4"/>
              <w:spacing w:before="78" w:line="219" w:lineRule="auto"/>
              <w:ind w:left="253"/>
            </w:pPr>
            <w:r>
              <w:rPr>
                <w:b/>
                <w:bCs/>
                <w:color w:val="505060"/>
                <w:spacing w:val="-5"/>
              </w:rPr>
              <w:t>产品名称</w:t>
            </w:r>
          </w:p>
        </w:tc>
        <w:tc>
          <w:tcPr>
            <w:tcW w:w="689" w:type="dxa"/>
            <w:vAlign w:val="top"/>
          </w:tcPr>
          <w:p w14:paraId="5ED00DD8">
            <w:pPr>
              <w:spacing w:line="411" w:lineRule="auto"/>
              <w:rPr>
                <w:rFonts w:ascii="Arial"/>
                <w:sz w:val="21"/>
              </w:rPr>
            </w:pPr>
          </w:p>
          <w:p w14:paraId="3746BF42">
            <w:pPr>
              <w:pStyle w:val="4"/>
              <w:spacing w:before="78" w:line="220" w:lineRule="auto"/>
              <w:ind w:left="94"/>
            </w:pPr>
            <w:r>
              <w:rPr>
                <w:b/>
                <w:bCs/>
                <w:color w:val="506060"/>
                <w:spacing w:val="4"/>
              </w:rPr>
              <w:t>所属</w:t>
            </w:r>
          </w:p>
          <w:p w14:paraId="125F6765">
            <w:pPr>
              <w:pStyle w:val="4"/>
              <w:spacing w:before="33" w:line="220" w:lineRule="auto"/>
              <w:ind w:left="94"/>
            </w:pPr>
            <w:r>
              <w:rPr>
                <w:b/>
                <w:bCs/>
                <w:spacing w:val="-5"/>
              </w:rPr>
              <w:t>领域</w:t>
            </w:r>
          </w:p>
        </w:tc>
        <w:tc>
          <w:tcPr>
            <w:tcW w:w="969" w:type="dxa"/>
            <w:vAlign w:val="top"/>
          </w:tcPr>
          <w:p w14:paraId="49B1D7BA">
            <w:pPr>
              <w:spacing w:line="290" w:lineRule="auto"/>
              <w:rPr>
                <w:rFonts w:ascii="Arial"/>
                <w:sz w:val="21"/>
              </w:rPr>
            </w:pPr>
          </w:p>
          <w:p w14:paraId="37047CA2">
            <w:pPr>
              <w:spacing w:line="290" w:lineRule="auto"/>
              <w:rPr>
                <w:rFonts w:ascii="Arial"/>
                <w:sz w:val="21"/>
              </w:rPr>
            </w:pPr>
          </w:p>
          <w:p w14:paraId="703B745B">
            <w:pPr>
              <w:pStyle w:val="4"/>
              <w:spacing w:before="78" w:line="220" w:lineRule="auto"/>
              <w:ind w:left="235"/>
            </w:pPr>
            <w:r>
              <w:rPr>
                <w:b/>
                <w:bCs/>
                <w:color w:val="504050"/>
                <w:spacing w:val="4"/>
              </w:rPr>
              <w:t>隶属</w:t>
            </w:r>
          </w:p>
        </w:tc>
        <w:tc>
          <w:tcPr>
            <w:tcW w:w="4527" w:type="dxa"/>
            <w:vAlign w:val="top"/>
          </w:tcPr>
          <w:p w14:paraId="1939BCA2">
            <w:pPr>
              <w:spacing w:line="289" w:lineRule="auto"/>
              <w:rPr>
                <w:rFonts w:ascii="Arial"/>
                <w:sz w:val="21"/>
              </w:rPr>
            </w:pPr>
          </w:p>
          <w:p w14:paraId="7B8FCACA">
            <w:pPr>
              <w:spacing w:line="289" w:lineRule="auto"/>
              <w:rPr>
                <w:rFonts w:ascii="Arial"/>
                <w:sz w:val="21"/>
              </w:rPr>
            </w:pPr>
          </w:p>
          <w:p w14:paraId="654C5C2D">
            <w:pPr>
              <w:pStyle w:val="4"/>
              <w:spacing w:before="78" w:line="219" w:lineRule="auto"/>
              <w:ind w:left="996"/>
            </w:pPr>
            <w:r>
              <w:rPr>
                <w:b/>
                <w:bCs/>
                <w:color w:val="404050"/>
                <w:spacing w:val="-3"/>
              </w:rPr>
              <w:t>数据产品</w:t>
            </w:r>
            <w:r>
              <w:rPr>
                <w:b/>
                <w:bCs/>
                <w:spacing w:val="-3"/>
              </w:rPr>
              <w:t>/数据服务简介</w:t>
            </w:r>
          </w:p>
        </w:tc>
        <w:tc>
          <w:tcPr>
            <w:tcW w:w="2988" w:type="dxa"/>
            <w:vAlign w:val="top"/>
          </w:tcPr>
          <w:p w14:paraId="097908F0">
            <w:pPr>
              <w:spacing w:line="290" w:lineRule="auto"/>
              <w:rPr>
                <w:rFonts w:ascii="Arial"/>
                <w:sz w:val="21"/>
              </w:rPr>
            </w:pPr>
          </w:p>
          <w:p w14:paraId="478F448B">
            <w:pPr>
              <w:spacing w:line="290" w:lineRule="auto"/>
              <w:rPr>
                <w:rFonts w:ascii="Arial"/>
                <w:sz w:val="21"/>
              </w:rPr>
            </w:pPr>
          </w:p>
          <w:p w14:paraId="20EE650B">
            <w:pPr>
              <w:pStyle w:val="4"/>
              <w:spacing w:before="78" w:line="219" w:lineRule="auto"/>
              <w:ind w:left="769"/>
            </w:pPr>
            <w:r>
              <w:rPr>
                <w:b/>
                <w:bCs/>
                <w:color w:val="505060"/>
                <w:spacing w:val="-5"/>
              </w:rPr>
              <w:t>主要应用场景</w:t>
            </w:r>
          </w:p>
        </w:tc>
        <w:tc>
          <w:tcPr>
            <w:tcW w:w="1519" w:type="dxa"/>
            <w:vAlign w:val="top"/>
          </w:tcPr>
          <w:p w14:paraId="36C9833D">
            <w:pPr>
              <w:pStyle w:val="4"/>
              <w:spacing w:before="42" w:line="220" w:lineRule="auto"/>
              <w:ind w:left="161"/>
            </w:pPr>
            <w:r>
              <w:rPr>
                <w:b/>
                <w:bCs/>
                <w:color w:val="304040"/>
                <w:spacing w:val="-5"/>
              </w:rPr>
              <w:t>是否为2026</w:t>
            </w:r>
          </w:p>
          <w:p w14:paraId="4C2AEAC4">
            <w:pPr>
              <w:pStyle w:val="4"/>
              <w:spacing w:before="23" w:line="219" w:lineRule="auto"/>
              <w:ind w:left="161"/>
            </w:pPr>
            <w:r>
              <w:rPr>
                <w:b/>
                <w:bCs/>
                <w:spacing w:val="-5"/>
              </w:rPr>
              <w:t>年“数据要</w:t>
            </w:r>
          </w:p>
          <w:p w14:paraId="4386BAFC">
            <w:pPr>
              <w:pStyle w:val="4"/>
              <w:spacing w:before="35" w:line="219" w:lineRule="auto"/>
              <w:ind w:left="161"/>
            </w:pPr>
            <w:r>
              <w:rPr>
                <w:b/>
                <w:bCs/>
                <w:color w:val="404050"/>
                <w:spacing w:val="-5"/>
              </w:rPr>
              <w:t>素×”大赛</w:t>
            </w:r>
          </w:p>
          <w:p w14:paraId="67BA69CE">
            <w:pPr>
              <w:pStyle w:val="4"/>
              <w:spacing w:before="24" w:line="220" w:lineRule="auto"/>
              <w:ind w:left="400" w:right="157" w:hanging="239"/>
            </w:pPr>
            <w:r>
              <w:rPr>
                <w:b/>
                <w:bCs/>
                <w:color w:val="404040"/>
                <w:spacing w:val="-5"/>
              </w:rPr>
              <w:t>江西分赛报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b/>
                <w:bCs/>
                <w:spacing w:val="3"/>
              </w:rPr>
              <w:t>名</w:t>
            </w:r>
            <w:r>
              <w:rPr>
                <w:b/>
                <w:bCs/>
                <w:color w:val="606060"/>
                <w:spacing w:val="3"/>
              </w:rPr>
              <w:t>作品</w:t>
            </w:r>
          </w:p>
        </w:tc>
        <w:tc>
          <w:tcPr>
            <w:tcW w:w="1479" w:type="dxa"/>
            <w:vAlign w:val="top"/>
          </w:tcPr>
          <w:p w14:paraId="1B9CAA86">
            <w:pPr>
              <w:spacing w:line="421" w:lineRule="auto"/>
              <w:rPr>
                <w:rFonts w:ascii="Arial"/>
                <w:sz w:val="21"/>
              </w:rPr>
            </w:pPr>
          </w:p>
          <w:p w14:paraId="38784C05">
            <w:pPr>
              <w:pStyle w:val="4"/>
              <w:spacing w:before="78" w:line="219" w:lineRule="auto"/>
              <w:ind w:left="142"/>
            </w:pPr>
            <w:r>
              <w:rPr>
                <w:b/>
                <w:bCs/>
                <w:color w:val="404040"/>
                <w:spacing w:val="-5"/>
              </w:rPr>
              <w:t>产品或服务</w:t>
            </w:r>
          </w:p>
          <w:p w14:paraId="62362003">
            <w:pPr>
              <w:pStyle w:val="4"/>
              <w:spacing w:before="23" w:line="219" w:lineRule="auto"/>
              <w:ind w:left="262"/>
            </w:pPr>
            <w:r>
              <w:rPr>
                <w:b/>
                <w:bCs/>
                <w:color w:val="505060"/>
                <w:spacing w:val="-5"/>
              </w:rPr>
              <w:t>提供机构</w:t>
            </w:r>
          </w:p>
        </w:tc>
        <w:tc>
          <w:tcPr>
            <w:tcW w:w="934" w:type="dxa"/>
            <w:vAlign w:val="top"/>
          </w:tcPr>
          <w:p w14:paraId="6886C22F">
            <w:pPr>
              <w:spacing w:line="424" w:lineRule="auto"/>
              <w:rPr>
                <w:rFonts w:ascii="Arial"/>
                <w:sz w:val="21"/>
              </w:rPr>
            </w:pPr>
          </w:p>
          <w:p w14:paraId="351D23EE">
            <w:pPr>
              <w:pStyle w:val="4"/>
              <w:spacing w:before="78" w:line="221" w:lineRule="auto"/>
              <w:ind w:left="103"/>
            </w:pPr>
            <w:r>
              <w:rPr>
                <w:b/>
                <w:bCs/>
                <w:color w:val="404040"/>
                <w:spacing w:val="-5"/>
              </w:rPr>
              <w:t>联系人</w:t>
            </w:r>
          </w:p>
          <w:p w14:paraId="45A939CB">
            <w:pPr>
              <w:pStyle w:val="4"/>
              <w:spacing w:before="22" w:line="221" w:lineRule="auto"/>
              <w:ind w:left="103"/>
            </w:pPr>
            <w:r>
              <w:rPr>
                <w:b/>
                <w:bCs/>
                <w:color w:val="606060"/>
                <w:spacing w:val="-5"/>
              </w:rPr>
              <w:t>及电话</w:t>
            </w:r>
          </w:p>
        </w:tc>
      </w:tr>
      <w:tr w14:paraId="4B72C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6" w:hRule="atLeast"/>
        </w:trPr>
        <w:tc>
          <w:tcPr>
            <w:tcW w:w="455" w:type="dxa"/>
            <w:textDirection w:val="tbRlV"/>
            <w:vAlign w:val="top"/>
          </w:tcPr>
          <w:p w14:paraId="5EBC2A70">
            <w:pPr>
              <w:pStyle w:val="4"/>
              <w:spacing w:before="109" w:line="202" w:lineRule="auto"/>
              <w:ind w:left="773"/>
            </w:pPr>
            <w:r>
              <w:rPr>
                <w:color w:val="404050"/>
                <w:spacing w:val="46"/>
              </w:rPr>
              <w:t>示例一</w:t>
            </w:r>
          </w:p>
        </w:tc>
        <w:tc>
          <w:tcPr>
            <w:tcW w:w="1479" w:type="dxa"/>
            <w:vAlign w:val="top"/>
          </w:tcPr>
          <w:p w14:paraId="3CB7205F">
            <w:pPr>
              <w:spacing w:line="251" w:lineRule="auto"/>
              <w:rPr>
                <w:rFonts w:ascii="Arial"/>
                <w:sz w:val="21"/>
              </w:rPr>
            </w:pPr>
          </w:p>
          <w:p w14:paraId="76AAAC20">
            <w:pPr>
              <w:spacing w:line="251" w:lineRule="auto"/>
              <w:rPr>
                <w:rFonts w:ascii="Arial"/>
                <w:sz w:val="21"/>
              </w:rPr>
            </w:pPr>
          </w:p>
          <w:p w14:paraId="081E95D7">
            <w:pPr>
              <w:pStyle w:val="4"/>
              <w:spacing w:before="78" w:line="221" w:lineRule="auto"/>
              <w:ind w:left="129"/>
            </w:pPr>
            <w:r>
              <w:rPr>
                <w:color w:val="405060"/>
              </w:rPr>
              <w:t>交通基</w:t>
            </w:r>
            <w:r>
              <w:rPr>
                <w:color w:val="505060"/>
              </w:rPr>
              <w:t>础设</w:t>
            </w:r>
          </w:p>
          <w:p w14:paraId="242251E7">
            <w:pPr>
              <w:pStyle w:val="4"/>
              <w:spacing w:before="32" w:line="220" w:lineRule="auto"/>
              <w:ind w:left="129"/>
            </w:pPr>
            <w:r>
              <w:rPr>
                <w:color w:val="404050"/>
                <w:spacing w:val="3"/>
              </w:rPr>
              <w:t>施结构监测</w:t>
            </w:r>
          </w:p>
          <w:p w14:paraId="7334B6B4">
            <w:pPr>
              <w:pStyle w:val="4"/>
              <w:spacing w:before="11" w:line="218" w:lineRule="auto"/>
              <w:ind w:left="129"/>
            </w:pPr>
            <w:r>
              <w:rPr>
                <w:color w:val="506070"/>
                <w:spacing w:val="2"/>
              </w:rPr>
              <w:t>与状态评估</w:t>
            </w:r>
          </w:p>
          <w:p w14:paraId="17D4603C">
            <w:pPr>
              <w:pStyle w:val="4"/>
              <w:spacing w:before="28" w:line="219" w:lineRule="auto"/>
              <w:ind w:left="490"/>
            </w:pPr>
            <w:r>
              <w:rPr>
                <w:spacing w:val="5"/>
              </w:rPr>
              <w:t>服务</w:t>
            </w:r>
          </w:p>
        </w:tc>
        <w:tc>
          <w:tcPr>
            <w:tcW w:w="689" w:type="dxa"/>
            <w:vAlign w:val="top"/>
          </w:tcPr>
          <w:p w14:paraId="2CE59D42">
            <w:pPr>
              <w:spacing w:line="266" w:lineRule="auto"/>
              <w:rPr>
                <w:rFonts w:ascii="Arial"/>
                <w:sz w:val="21"/>
              </w:rPr>
            </w:pPr>
          </w:p>
          <w:p w14:paraId="14C57A9F">
            <w:pPr>
              <w:spacing w:line="267" w:lineRule="auto"/>
              <w:rPr>
                <w:rFonts w:ascii="Arial"/>
                <w:sz w:val="21"/>
              </w:rPr>
            </w:pPr>
          </w:p>
          <w:p w14:paraId="2E9E27A5">
            <w:pPr>
              <w:spacing w:line="267" w:lineRule="auto"/>
              <w:rPr>
                <w:rFonts w:ascii="Arial"/>
                <w:sz w:val="21"/>
              </w:rPr>
            </w:pPr>
          </w:p>
          <w:p w14:paraId="1B1D9A10">
            <w:pPr>
              <w:pStyle w:val="4"/>
              <w:spacing w:before="78" w:line="221" w:lineRule="auto"/>
              <w:ind w:left="90"/>
            </w:pPr>
            <w:r>
              <w:rPr>
                <w:spacing w:val="4"/>
              </w:rPr>
              <w:t>交通</w:t>
            </w:r>
          </w:p>
          <w:p w14:paraId="2EA2700B">
            <w:pPr>
              <w:pStyle w:val="4"/>
              <w:spacing w:before="31" w:line="219" w:lineRule="auto"/>
              <w:ind w:left="90"/>
            </w:pPr>
            <w:r>
              <w:rPr>
                <w:spacing w:val="-3"/>
              </w:rPr>
              <w:t>运输</w:t>
            </w:r>
          </w:p>
        </w:tc>
        <w:tc>
          <w:tcPr>
            <w:tcW w:w="969" w:type="dxa"/>
            <w:vAlign w:val="top"/>
          </w:tcPr>
          <w:p w14:paraId="326DDD00">
            <w:pPr>
              <w:spacing w:line="258" w:lineRule="auto"/>
              <w:rPr>
                <w:rFonts w:ascii="Arial"/>
                <w:sz w:val="21"/>
              </w:rPr>
            </w:pPr>
          </w:p>
          <w:p w14:paraId="1EB89FCD">
            <w:pPr>
              <w:spacing w:line="258" w:lineRule="auto"/>
              <w:rPr>
                <w:rFonts w:ascii="Arial"/>
                <w:sz w:val="21"/>
              </w:rPr>
            </w:pPr>
          </w:p>
          <w:p w14:paraId="31089AE3">
            <w:pPr>
              <w:spacing w:line="259" w:lineRule="auto"/>
              <w:rPr>
                <w:rFonts w:ascii="Arial"/>
                <w:sz w:val="21"/>
              </w:rPr>
            </w:pPr>
          </w:p>
          <w:p w14:paraId="17C7639B">
            <w:pPr>
              <w:spacing w:line="259" w:lineRule="auto"/>
              <w:rPr>
                <w:rFonts w:ascii="Arial"/>
                <w:sz w:val="21"/>
              </w:rPr>
            </w:pPr>
          </w:p>
          <w:p w14:paraId="34DE3F99">
            <w:pPr>
              <w:pStyle w:val="4"/>
              <w:spacing w:before="55" w:line="237" w:lineRule="exact"/>
              <w:ind w:left="391"/>
              <w:rPr>
                <w:sz w:val="17"/>
                <w:szCs w:val="17"/>
              </w:rPr>
            </w:pPr>
            <w:r>
              <w:rPr>
                <w:color w:val="303040"/>
                <w:spacing w:val="-2"/>
                <w:position w:val="1"/>
                <w:sz w:val="17"/>
                <w:szCs w:val="17"/>
              </w:rPr>
              <w:t>**</w:t>
            </w:r>
          </w:p>
        </w:tc>
        <w:tc>
          <w:tcPr>
            <w:tcW w:w="4527" w:type="dxa"/>
            <w:vAlign w:val="top"/>
          </w:tcPr>
          <w:p w14:paraId="7309564E">
            <w:pPr>
              <w:pStyle w:val="4"/>
              <w:spacing w:before="270" w:line="219" w:lineRule="auto"/>
              <w:jc w:val="right"/>
            </w:pPr>
            <w:r>
              <w:rPr>
                <w:color w:val="303040"/>
                <w:spacing w:val="5"/>
              </w:rPr>
              <w:t>通过布设表面位移、深部位移、降雨量、</w:t>
            </w:r>
          </w:p>
          <w:p w14:paraId="5126D4C1">
            <w:pPr>
              <w:pStyle w:val="4"/>
              <w:spacing w:before="25" w:line="219" w:lineRule="auto"/>
              <w:ind w:left="92"/>
            </w:pPr>
            <w:r>
              <w:t>裂缝等传感器，</w:t>
            </w:r>
            <w:r>
              <w:rPr>
                <w:color w:val="405050"/>
              </w:rPr>
              <w:t>实现全维度数据采集，精</w:t>
            </w:r>
          </w:p>
          <w:p w14:paraId="3B7C7CB3">
            <w:pPr>
              <w:pStyle w:val="4"/>
              <w:spacing w:before="37" w:line="238" w:lineRule="auto"/>
              <w:ind w:left="92" w:right="45" w:hanging="60"/>
            </w:pPr>
            <w:r>
              <w:rPr>
                <w:color w:val="405060"/>
                <w:spacing w:val="-1"/>
              </w:rPr>
              <w:t>度达毫米级。运用源数据融合分析、</w:t>
            </w:r>
            <w:r>
              <w:rPr>
                <w:color w:val="303040"/>
                <w:spacing w:val="-1"/>
              </w:rPr>
              <w:t>ARIMA</w:t>
            </w:r>
            <w:r>
              <w:rPr>
                <w:color w:val="303040"/>
                <w:spacing w:val="18"/>
              </w:rPr>
              <w:t xml:space="preserve"> </w:t>
            </w:r>
            <w:r>
              <w:rPr>
                <w:color w:val="606070"/>
              </w:rPr>
              <w:t>时间序列预测、固定式测斜等技术。</w:t>
            </w:r>
            <w:r>
              <w:rPr>
                <w:color w:val="504060"/>
              </w:rPr>
              <w:t>已在</w:t>
            </w:r>
          </w:p>
          <w:p w14:paraId="226D4AAE">
            <w:pPr>
              <w:pStyle w:val="4"/>
              <w:spacing w:line="219" w:lineRule="auto"/>
              <w:ind w:left="153"/>
            </w:pPr>
            <w:r>
              <w:rPr>
                <w:color w:val="506070"/>
                <w:spacing w:val="-1"/>
              </w:rPr>
              <w:t>宜遂高速边坡监测中成功预警临滑状态，</w:t>
            </w:r>
          </w:p>
          <w:p w14:paraId="0DB2F492">
            <w:pPr>
              <w:pStyle w:val="4"/>
              <w:spacing w:before="15" w:line="220" w:lineRule="auto"/>
              <w:ind w:left="113"/>
            </w:pPr>
            <w:r>
              <w:rPr>
                <w:color w:val="505060"/>
                <w:spacing w:val="3"/>
              </w:rPr>
              <w:t>避免灾害</w:t>
            </w:r>
          </w:p>
        </w:tc>
        <w:tc>
          <w:tcPr>
            <w:tcW w:w="2988" w:type="dxa"/>
            <w:vAlign w:val="top"/>
          </w:tcPr>
          <w:p w14:paraId="3C424145">
            <w:pPr>
              <w:spacing w:line="351" w:lineRule="auto"/>
              <w:rPr>
                <w:rFonts w:ascii="Arial"/>
                <w:sz w:val="21"/>
              </w:rPr>
            </w:pPr>
          </w:p>
          <w:p w14:paraId="758D6435">
            <w:pPr>
              <w:pStyle w:val="4"/>
              <w:spacing w:before="78" w:line="219" w:lineRule="auto"/>
              <w:jc w:val="right"/>
            </w:pPr>
            <w:r>
              <w:rPr>
                <w:color w:val="404050"/>
                <w:spacing w:val="4"/>
              </w:rPr>
              <w:t>可应用于高速公路高边坡、</w:t>
            </w:r>
          </w:p>
          <w:p w14:paraId="316DC34C">
            <w:pPr>
              <w:pStyle w:val="4"/>
              <w:spacing w:before="35" w:line="219" w:lineRule="auto"/>
              <w:ind w:left="46"/>
            </w:pPr>
            <w:r>
              <w:t>桥梁、隧道等交通基础设施</w:t>
            </w:r>
          </w:p>
          <w:p w14:paraId="5334AD26">
            <w:pPr>
              <w:pStyle w:val="4"/>
              <w:spacing w:before="15" w:line="219" w:lineRule="auto"/>
              <w:ind w:left="166"/>
            </w:pPr>
            <w:r>
              <w:rPr>
                <w:color w:val="505060"/>
              </w:rPr>
              <w:t>的结构健康监测、</w:t>
            </w:r>
            <w:r>
              <w:rPr>
                <w:color w:val="404060"/>
              </w:rPr>
              <w:t>灾害预</w:t>
            </w:r>
          </w:p>
          <w:p w14:paraId="0FBAF3D4">
            <w:pPr>
              <w:pStyle w:val="4"/>
              <w:spacing w:before="3" w:line="218" w:lineRule="auto"/>
              <w:ind w:left="46"/>
            </w:pPr>
            <w:r>
              <w:rPr>
                <w:color w:val="405060"/>
                <w:spacing w:val="1"/>
              </w:rPr>
              <w:t>警、风险评估与养护决策支</w:t>
            </w:r>
          </w:p>
          <w:p w14:paraId="7A53A7A4">
            <w:pPr>
              <w:pStyle w:val="4"/>
              <w:spacing w:before="38" w:line="219" w:lineRule="auto"/>
              <w:ind w:left="115"/>
            </w:pPr>
            <w:r>
              <w:t>持</w:t>
            </w:r>
          </w:p>
        </w:tc>
        <w:tc>
          <w:tcPr>
            <w:tcW w:w="1519" w:type="dxa"/>
            <w:vAlign w:val="top"/>
          </w:tcPr>
          <w:p w14:paraId="64D9F487">
            <w:pPr>
              <w:spacing w:line="245" w:lineRule="auto"/>
              <w:rPr>
                <w:rFonts w:ascii="Arial"/>
                <w:sz w:val="21"/>
              </w:rPr>
            </w:pPr>
          </w:p>
          <w:p w14:paraId="5EDFD39C">
            <w:pPr>
              <w:spacing w:line="245" w:lineRule="auto"/>
              <w:rPr>
                <w:rFonts w:ascii="Arial"/>
                <w:sz w:val="21"/>
              </w:rPr>
            </w:pPr>
          </w:p>
          <w:p w14:paraId="3B24D9A0">
            <w:pPr>
              <w:spacing w:line="245" w:lineRule="auto"/>
              <w:rPr>
                <w:rFonts w:ascii="Arial"/>
                <w:sz w:val="21"/>
              </w:rPr>
            </w:pPr>
          </w:p>
          <w:p w14:paraId="29FD92C3">
            <w:pPr>
              <w:spacing w:line="246" w:lineRule="auto"/>
              <w:rPr>
                <w:rFonts w:ascii="Arial"/>
                <w:sz w:val="21"/>
              </w:rPr>
            </w:pPr>
          </w:p>
          <w:p w14:paraId="02D02899">
            <w:pPr>
              <w:pStyle w:val="4"/>
              <w:spacing w:before="78" w:line="335" w:lineRule="exact"/>
              <w:ind w:left="638"/>
            </w:pPr>
            <w:r>
              <w:rPr>
                <w:color w:val="506060"/>
                <w:spacing w:val="-3"/>
                <w:position w:val="1"/>
              </w:rPr>
              <w:t>**</w:t>
            </w:r>
          </w:p>
        </w:tc>
        <w:tc>
          <w:tcPr>
            <w:tcW w:w="1479" w:type="dxa"/>
            <w:vAlign w:val="top"/>
          </w:tcPr>
          <w:p w14:paraId="08A33DE9">
            <w:pPr>
              <w:spacing w:line="258" w:lineRule="auto"/>
              <w:rPr>
                <w:rFonts w:ascii="Arial"/>
                <w:sz w:val="21"/>
              </w:rPr>
            </w:pPr>
          </w:p>
          <w:p w14:paraId="6CF8D1E8">
            <w:pPr>
              <w:spacing w:line="258" w:lineRule="auto"/>
              <w:rPr>
                <w:rFonts w:ascii="Arial"/>
                <w:sz w:val="21"/>
              </w:rPr>
            </w:pPr>
          </w:p>
          <w:p w14:paraId="3A1E6D3E">
            <w:pPr>
              <w:spacing w:line="259" w:lineRule="auto"/>
              <w:rPr>
                <w:rFonts w:ascii="Arial"/>
                <w:sz w:val="21"/>
              </w:rPr>
            </w:pPr>
          </w:p>
          <w:p w14:paraId="5A021EC7">
            <w:pPr>
              <w:spacing w:line="259" w:lineRule="auto"/>
              <w:rPr>
                <w:rFonts w:ascii="Arial"/>
                <w:sz w:val="21"/>
              </w:rPr>
            </w:pPr>
          </w:p>
          <w:p w14:paraId="79685E03">
            <w:pPr>
              <w:pStyle w:val="4"/>
              <w:spacing w:before="55" w:line="237" w:lineRule="exact"/>
              <w:ind w:left="648"/>
              <w:rPr>
                <w:sz w:val="17"/>
                <w:szCs w:val="17"/>
              </w:rPr>
            </w:pPr>
            <w:r>
              <w:rPr>
                <w:spacing w:val="-2"/>
                <w:position w:val="1"/>
                <w:sz w:val="17"/>
                <w:szCs w:val="17"/>
              </w:rPr>
              <w:t>**</w:t>
            </w:r>
          </w:p>
        </w:tc>
        <w:tc>
          <w:tcPr>
            <w:tcW w:w="934" w:type="dxa"/>
            <w:vAlign w:val="top"/>
          </w:tcPr>
          <w:p w14:paraId="0BB778BC">
            <w:pPr>
              <w:spacing w:line="258" w:lineRule="auto"/>
              <w:rPr>
                <w:rFonts w:ascii="Arial"/>
                <w:sz w:val="21"/>
              </w:rPr>
            </w:pPr>
          </w:p>
          <w:p w14:paraId="598102D0">
            <w:pPr>
              <w:spacing w:line="258" w:lineRule="auto"/>
              <w:rPr>
                <w:rFonts w:ascii="Arial"/>
                <w:sz w:val="21"/>
              </w:rPr>
            </w:pPr>
          </w:p>
          <w:p w14:paraId="7D1F4C36">
            <w:pPr>
              <w:spacing w:line="259" w:lineRule="auto"/>
              <w:rPr>
                <w:rFonts w:ascii="Arial"/>
                <w:sz w:val="21"/>
              </w:rPr>
            </w:pPr>
          </w:p>
          <w:p w14:paraId="35C2F2F1">
            <w:pPr>
              <w:spacing w:line="259" w:lineRule="auto"/>
              <w:rPr>
                <w:rFonts w:ascii="Arial"/>
                <w:sz w:val="21"/>
              </w:rPr>
            </w:pPr>
          </w:p>
          <w:p w14:paraId="5DDD3A56">
            <w:pPr>
              <w:pStyle w:val="4"/>
              <w:spacing w:before="55" w:line="237" w:lineRule="exact"/>
              <w:ind w:left="379"/>
              <w:rPr>
                <w:sz w:val="17"/>
                <w:szCs w:val="17"/>
              </w:rPr>
            </w:pPr>
            <w:r>
              <w:rPr>
                <w:color w:val="506060"/>
                <w:spacing w:val="-2"/>
                <w:position w:val="1"/>
                <w:sz w:val="17"/>
                <w:szCs w:val="17"/>
              </w:rPr>
              <w:t>**</w:t>
            </w:r>
          </w:p>
        </w:tc>
      </w:tr>
      <w:tr w14:paraId="0CC83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1" w:hRule="atLeast"/>
        </w:trPr>
        <w:tc>
          <w:tcPr>
            <w:tcW w:w="455" w:type="dxa"/>
            <w:textDirection w:val="tbRlV"/>
            <w:vAlign w:val="top"/>
          </w:tcPr>
          <w:p w14:paraId="410C2C51">
            <w:pPr>
              <w:pStyle w:val="4"/>
              <w:spacing w:before="119" w:line="202" w:lineRule="auto"/>
              <w:ind w:left="867"/>
            </w:pPr>
            <w:r>
              <w:rPr>
                <w:spacing w:val="18"/>
              </w:rPr>
              <w:t>示例二</w:t>
            </w:r>
          </w:p>
        </w:tc>
        <w:tc>
          <w:tcPr>
            <w:tcW w:w="1479" w:type="dxa"/>
            <w:vAlign w:val="top"/>
          </w:tcPr>
          <w:p w14:paraId="10C5EA09">
            <w:pPr>
              <w:spacing w:line="250" w:lineRule="auto"/>
              <w:rPr>
                <w:rFonts w:ascii="Arial"/>
                <w:sz w:val="21"/>
              </w:rPr>
            </w:pPr>
          </w:p>
          <w:p w14:paraId="1218525D">
            <w:pPr>
              <w:spacing w:line="250" w:lineRule="auto"/>
              <w:rPr>
                <w:rFonts w:ascii="Arial"/>
                <w:sz w:val="21"/>
              </w:rPr>
            </w:pPr>
          </w:p>
          <w:p w14:paraId="3D3AE286">
            <w:pPr>
              <w:spacing w:line="251" w:lineRule="auto"/>
              <w:rPr>
                <w:rFonts w:ascii="Arial"/>
                <w:sz w:val="21"/>
              </w:rPr>
            </w:pPr>
          </w:p>
          <w:p w14:paraId="3AF89FD6">
            <w:pPr>
              <w:pStyle w:val="4"/>
              <w:spacing w:before="78" w:line="219" w:lineRule="auto"/>
              <w:ind w:left="129"/>
            </w:pPr>
            <w:r>
              <w:rPr>
                <w:color w:val="404050"/>
                <w:spacing w:val="2"/>
              </w:rPr>
              <w:t>家居建材行</w:t>
            </w:r>
          </w:p>
          <w:p w14:paraId="7F44D654">
            <w:pPr>
              <w:pStyle w:val="4"/>
              <w:spacing w:before="26" w:line="219" w:lineRule="auto"/>
              <w:ind w:left="129"/>
            </w:pPr>
            <w:r>
              <w:rPr>
                <w:color w:val="505060"/>
                <w:spacing w:val="2"/>
              </w:rPr>
              <w:t>业可信数据</w:t>
            </w:r>
          </w:p>
          <w:p w14:paraId="3F0BA882">
            <w:pPr>
              <w:pStyle w:val="4"/>
              <w:spacing w:before="35" w:line="220" w:lineRule="auto"/>
              <w:ind w:left="129"/>
            </w:pPr>
            <w:r>
              <w:rPr>
                <w:color w:val="304040"/>
                <w:spacing w:val="8"/>
              </w:rPr>
              <w:t>空间(洞居)</w:t>
            </w:r>
          </w:p>
        </w:tc>
        <w:tc>
          <w:tcPr>
            <w:tcW w:w="689" w:type="dxa"/>
            <w:vAlign w:val="top"/>
          </w:tcPr>
          <w:p w14:paraId="2D76623B">
            <w:pPr>
              <w:spacing w:line="294" w:lineRule="auto"/>
              <w:rPr>
                <w:rFonts w:ascii="Arial"/>
                <w:sz w:val="21"/>
              </w:rPr>
            </w:pPr>
          </w:p>
          <w:p w14:paraId="1D6472DE">
            <w:pPr>
              <w:spacing w:line="294" w:lineRule="auto"/>
              <w:rPr>
                <w:rFonts w:ascii="Arial"/>
                <w:sz w:val="21"/>
              </w:rPr>
            </w:pPr>
          </w:p>
          <w:p w14:paraId="344C8CFE">
            <w:pPr>
              <w:spacing w:line="295" w:lineRule="auto"/>
              <w:rPr>
                <w:rFonts w:ascii="Arial"/>
                <w:sz w:val="21"/>
              </w:rPr>
            </w:pPr>
          </w:p>
          <w:p w14:paraId="6BC7F55D">
            <w:pPr>
              <w:pStyle w:val="4"/>
              <w:spacing w:before="78" w:line="220" w:lineRule="auto"/>
              <w:ind w:left="90"/>
            </w:pPr>
            <w:r>
              <w:rPr>
                <w:spacing w:val="-8"/>
              </w:rPr>
              <w:t>商</w:t>
            </w:r>
            <w:r>
              <w:rPr>
                <w:color w:val="304050"/>
                <w:spacing w:val="-8"/>
              </w:rPr>
              <w:t>贸</w:t>
            </w:r>
          </w:p>
          <w:p w14:paraId="327CD208">
            <w:pPr>
              <w:pStyle w:val="4"/>
              <w:spacing w:before="37" w:line="223" w:lineRule="auto"/>
              <w:ind w:left="90"/>
            </w:pPr>
            <w:r>
              <w:rPr>
                <w:color w:val="505060"/>
                <w:spacing w:val="-3"/>
              </w:rPr>
              <w:t>流通</w:t>
            </w:r>
          </w:p>
        </w:tc>
        <w:tc>
          <w:tcPr>
            <w:tcW w:w="969" w:type="dxa"/>
            <w:vAlign w:val="top"/>
          </w:tcPr>
          <w:p w14:paraId="4B3473E5">
            <w:pPr>
              <w:spacing w:line="281" w:lineRule="auto"/>
              <w:rPr>
                <w:rFonts w:ascii="Arial"/>
                <w:sz w:val="21"/>
              </w:rPr>
            </w:pPr>
          </w:p>
          <w:p w14:paraId="37FBB556">
            <w:pPr>
              <w:spacing w:line="282" w:lineRule="auto"/>
              <w:rPr>
                <w:rFonts w:ascii="Arial"/>
                <w:sz w:val="21"/>
              </w:rPr>
            </w:pPr>
          </w:p>
          <w:p w14:paraId="785073B6">
            <w:pPr>
              <w:spacing w:line="282" w:lineRule="auto"/>
              <w:rPr>
                <w:rFonts w:ascii="Arial"/>
                <w:sz w:val="21"/>
              </w:rPr>
            </w:pPr>
          </w:p>
          <w:p w14:paraId="4C64AF2E">
            <w:pPr>
              <w:spacing w:line="282" w:lineRule="auto"/>
              <w:rPr>
                <w:rFonts w:ascii="Arial"/>
                <w:sz w:val="21"/>
              </w:rPr>
            </w:pPr>
          </w:p>
          <w:p w14:paraId="56E2558E">
            <w:pPr>
              <w:pStyle w:val="4"/>
              <w:spacing w:before="56" w:line="237" w:lineRule="exact"/>
              <w:ind w:left="391"/>
              <w:rPr>
                <w:sz w:val="17"/>
                <w:szCs w:val="17"/>
              </w:rPr>
            </w:pPr>
            <w:r>
              <w:rPr>
                <w:color w:val="405060"/>
                <w:spacing w:val="-2"/>
                <w:position w:val="1"/>
                <w:sz w:val="17"/>
                <w:szCs w:val="17"/>
              </w:rPr>
              <w:t>**</w:t>
            </w:r>
          </w:p>
        </w:tc>
        <w:tc>
          <w:tcPr>
            <w:tcW w:w="4527" w:type="dxa"/>
            <w:vAlign w:val="top"/>
          </w:tcPr>
          <w:p w14:paraId="7B706A23">
            <w:pPr>
              <w:pStyle w:val="4"/>
              <w:spacing w:before="204" w:line="219" w:lineRule="auto"/>
              <w:ind w:left="92"/>
            </w:pPr>
            <w:r>
              <w:rPr>
                <w:color w:val="505060"/>
                <w:spacing w:val="-1"/>
              </w:rPr>
              <w:t>采用区块链溯源、隐私计算、AI智能匹配</w:t>
            </w:r>
          </w:p>
          <w:p w14:paraId="3F5E5EAF">
            <w:pPr>
              <w:pStyle w:val="4"/>
              <w:spacing w:before="25" w:line="219" w:lineRule="auto"/>
              <w:jc w:val="right"/>
            </w:pPr>
            <w:r>
              <w:rPr>
                <w:spacing w:val="-4"/>
              </w:rPr>
              <w:t>等技术，</w:t>
            </w:r>
            <w:r>
              <w:rPr>
                <w:color w:val="404050"/>
                <w:spacing w:val="-4"/>
              </w:rPr>
              <w:t>构建家居建材行业可信数据空间。</w:t>
            </w:r>
          </w:p>
          <w:p w14:paraId="3798AE25">
            <w:pPr>
              <w:pStyle w:val="4"/>
              <w:spacing w:before="35" w:line="219" w:lineRule="auto"/>
              <w:jc w:val="right"/>
            </w:pPr>
            <w:r>
              <w:rPr>
                <w:color w:val="506070"/>
                <w:spacing w:val="-9"/>
              </w:rPr>
              <w:t>平台包含业主需求、商户资质、建材溯源、</w:t>
            </w:r>
          </w:p>
          <w:p w14:paraId="43596376">
            <w:pPr>
              <w:pStyle w:val="4"/>
              <w:spacing w:before="25" w:line="219" w:lineRule="auto"/>
              <w:ind w:left="92"/>
            </w:pPr>
            <w:r>
              <w:rPr>
                <w:color w:val="506060"/>
                <w:spacing w:val="-1"/>
              </w:rPr>
              <w:t>装修监管、产业供应链、</w:t>
            </w:r>
            <w:r>
              <w:rPr>
                <w:color w:val="506060"/>
                <w:spacing w:val="-1"/>
                <w:u w:val="single" w:color="auto"/>
              </w:rPr>
              <w:t>行</w:t>
            </w:r>
            <w:r>
              <w:rPr>
                <w:color w:val="506060"/>
                <w:spacing w:val="-1"/>
              </w:rPr>
              <w:t>业分析六大数</w:t>
            </w:r>
          </w:p>
          <w:p w14:paraId="613702D1">
            <w:pPr>
              <w:pStyle w:val="4"/>
              <w:spacing w:before="36" w:line="219" w:lineRule="auto"/>
              <w:jc w:val="right"/>
            </w:pPr>
            <w:r>
              <w:rPr>
                <w:color w:val="203040"/>
                <w:spacing w:val="-9"/>
              </w:rPr>
              <w:t>据集，可实现数据“可用不可见、可信可溯</w:t>
            </w:r>
          </w:p>
          <w:p w14:paraId="43169D65">
            <w:pPr>
              <w:pStyle w:val="4"/>
              <w:spacing w:before="25" w:line="219" w:lineRule="auto"/>
              <w:ind w:left="92"/>
            </w:pPr>
            <w:r>
              <w:rPr>
                <w:spacing w:val="-8"/>
              </w:rPr>
              <w:t>源 ”</w:t>
            </w:r>
            <w:r>
              <w:rPr>
                <w:spacing w:val="-69"/>
              </w:rPr>
              <w:t xml:space="preserve"> </w:t>
            </w:r>
            <w:r>
              <w:rPr>
                <w:spacing w:val="-8"/>
              </w:rPr>
              <w:t>。</w:t>
            </w:r>
            <w:r>
              <w:rPr>
                <w:color w:val="505060"/>
                <w:spacing w:val="-8"/>
              </w:rPr>
              <w:t>已在南昌试点，入驻B端商户300</w:t>
            </w:r>
          </w:p>
          <w:p w14:paraId="11CD64E9">
            <w:pPr>
              <w:pStyle w:val="4"/>
              <w:spacing w:before="34" w:line="219" w:lineRule="auto"/>
              <w:ind w:left="122"/>
            </w:pPr>
            <w:r>
              <w:rPr>
                <w:color w:val="303040"/>
                <w:spacing w:val="-14"/>
              </w:rPr>
              <w:t>余 家</w:t>
            </w:r>
            <w:r>
              <w:rPr>
                <w:color w:val="303040"/>
                <w:spacing w:val="-26"/>
              </w:rPr>
              <w:t xml:space="preserve"> </w:t>
            </w:r>
            <w:r>
              <w:rPr>
                <w:color w:val="303040"/>
                <w:spacing w:val="-14"/>
              </w:rPr>
              <w:t>，</w:t>
            </w:r>
            <w:r>
              <w:rPr>
                <w:color w:val="404050"/>
                <w:spacing w:val="-14"/>
              </w:rPr>
              <w:t>供应端营销成本下降60%</w:t>
            </w:r>
          </w:p>
        </w:tc>
        <w:tc>
          <w:tcPr>
            <w:tcW w:w="2988" w:type="dxa"/>
            <w:vAlign w:val="top"/>
          </w:tcPr>
          <w:p w14:paraId="07E0316E">
            <w:pPr>
              <w:spacing w:line="434" w:lineRule="auto"/>
              <w:rPr>
                <w:rFonts w:ascii="Arial"/>
                <w:sz w:val="21"/>
              </w:rPr>
            </w:pPr>
          </w:p>
          <w:p w14:paraId="72F6AE77">
            <w:pPr>
              <w:pStyle w:val="4"/>
              <w:spacing w:before="78"/>
              <w:ind w:left="46" w:right="35" w:firstLine="120"/>
            </w:pPr>
            <w:r>
              <w:rPr>
                <w:color w:val="505060"/>
                <w:spacing w:val="1"/>
              </w:rPr>
              <w:t>可应用于家居建材行业的</w:t>
            </w:r>
            <w:r>
              <w:rPr>
                <w:color w:val="505060"/>
                <w:spacing w:val="3"/>
              </w:rPr>
              <w:t xml:space="preserve">  </w:t>
            </w:r>
            <w:r>
              <w:rPr>
                <w:color w:val="505060"/>
                <w:spacing w:val="1"/>
              </w:rPr>
              <w:t>业主可信认证、供需智能匹</w:t>
            </w:r>
          </w:p>
          <w:p w14:paraId="64D46365">
            <w:pPr>
              <w:pStyle w:val="4"/>
              <w:spacing w:before="4" w:line="239" w:lineRule="auto"/>
              <w:ind w:left="46" w:right="41"/>
            </w:pPr>
            <w:r>
              <w:rPr>
                <w:spacing w:val="-13"/>
              </w:rPr>
              <w:t>配</w:t>
            </w:r>
            <w:r>
              <w:rPr>
                <w:spacing w:val="45"/>
              </w:rPr>
              <w:t xml:space="preserve"> </w:t>
            </w:r>
            <w:r>
              <w:rPr>
                <w:spacing w:val="-13"/>
              </w:rPr>
              <w:t>、</w:t>
            </w:r>
            <w:r>
              <w:rPr>
                <w:color w:val="404060"/>
                <w:spacing w:val="-13"/>
              </w:rPr>
              <w:t>建材质量溯源、装修合</w:t>
            </w:r>
            <w:r>
              <w:rPr>
                <w:color w:val="404060"/>
              </w:rPr>
              <w:t xml:space="preserve"> </w:t>
            </w:r>
            <w:r>
              <w:rPr>
                <w:color w:val="506070"/>
                <w:spacing w:val="-1"/>
              </w:rPr>
              <w:t>规监管、数据价值变现、</w:t>
            </w:r>
            <w:r>
              <w:rPr>
                <w:spacing w:val="-1"/>
              </w:rPr>
              <w:t>智</w:t>
            </w:r>
          </w:p>
          <w:p w14:paraId="403AAD33">
            <w:pPr>
              <w:pStyle w:val="4"/>
              <w:spacing w:line="219" w:lineRule="auto"/>
              <w:ind w:left="115"/>
            </w:pPr>
            <w:r>
              <w:rPr>
                <w:color w:val="505060"/>
                <w:spacing w:val="2"/>
              </w:rPr>
              <w:t>慧</w:t>
            </w:r>
            <w:r>
              <w:rPr>
                <w:color w:val="505070"/>
                <w:spacing w:val="2"/>
              </w:rPr>
              <w:t>金融服务</w:t>
            </w:r>
          </w:p>
        </w:tc>
        <w:tc>
          <w:tcPr>
            <w:tcW w:w="1519" w:type="dxa"/>
            <w:vAlign w:val="top"/>
          </w:tcPr>
          <w:p w14:paraId="15C94257">
            <w:pPr>
              <w:spacing w:line="268" w:lineRule="auto"/>
              <w:rPr>
                <w:rFonts w:ascii="Arial"/>
                <w:sz w:val="21"/>
              </w:rPr>
            </w:pPr>
          </w:p>
          <w:p w14:paraId="7BBC6C00">
            <w:pPr>
              <w:spacing w:line="269" w:lineRule="auto"/>
              <w:rPr>
                <w:rFonts w:ascii="Arial"/>
                <w:sz w:val="21"/>
              </w:rPr>
            </w:pPr>
          </w:p>
          <w:p w14:paraId="378394E7">
            <w:pPr>
              <w:spacing w:line="269" w:lineRule="auto"/>
              <w:rPr>
                <w:rFonts w:ascii="Arial"/>
                <w:sz w:val="21"/>
              </w:rPr>
            </w:pPr>
          </w:p>
          <w:p w14:paraId="30908C1E">
            <w:pPr>
              <w:spacing w:line="269" w:lineRule="auto"/>
              <w:rPr>
                <w:rFonts w:ascii="Arial"/>
                <w:sz w:val="21"/>
              </w:rPr>
            </w:pPr>
          </w:p>
          <w:p w14:paraId="0A3D2829">
            <w:pPr>
              <w:pStyle w:val="4"/>
              <w:spacing w:before="78" w:line="335" w:lineRule="exact"/>
              <w:ind w:left="638"/>
            </w:pPr>
            <w:r>
              <w:rPr>
                <w:spacing w:val="-3"/>
                <w:position w:val="1"/>
              </w:rPr>
              <w:t>**</w:t>
            </w:r>
          </w:p>
        </w:tc>
        <w:tc>
          <w:tcPr>
            <w:tcW w:w="1479" w:type="dxa"/>
            <w:vAlign w:val="top"/>
          </w:tcPr>
          <w:p w14:paraId="7995A451">
            <w:pPr>
              <w:spacing w:line="268" w:lineRule="auto"/>
              <w:rPr>
                <w:rFonts w:ascii="Arial"/>
                <w:sz w:val="21"/>
              </w:rPr>
            </w:pPr>
          </w:p>
          <w:p w14:paraId="354C6BE0">
            <w:pPr>
              <w:spacing w:line="269" w:lineRule="auto"/>
              <w:rPr>
                <w:rFonts w:ascii="Arial"/>
                <w:sz w:val="21"/>
              </w:rPr>
            </w:pPr>
          </w:p>
          <w:p w14:paraId="37D6B3A0">
            <w:pPr>
              <w:spacing w:line="269" w:lineRule="auto"/>
              <w:rPr>
                <w:rFonts w:ascii="Arial"/>
                <w:sz w:val="21"/>
              </w:rPr>
            </w:pPr>
          </w:p>
          <w:p w14:paraId="567282A0">
            <w:pPr>
              <w:spacing w:line="269" w:lineRule="auto"/>
              <w:rPr>
                <w:rFonts w:ascii="Arial"/>
                <w:sz w:val="21"/>
              </w:rPr>
            </w:pPr>
          </w:p>
          <w:p w14:paraId="36E2A20E">
            <w:pPr>
              <w:pStyle w:val="4"/>
              <w:spacing w:before="78" w:line="335" w:lineRule="exact"/>
              <w:ind w:left="618"/>
            </w:pPr>
            <w:r>
              <w:rPr>
                <w:color w:val="203040"/>
                <w:spacing w:val="-3"/>
                <w:position w:val="1"/>
              </w:rPr>
              <w:t>**</w:t>
            </w:r>
          </w:p>
        </w:tc>
        <w:tc>
          <w:tcPr>
            <w:tcW w:w="934" w:type="dxa"/>
            <w:vAlign w:val="top"/>
          </w:tcPr>
          <w:p w14:paraId="7E7EF146">
            <w:pPr>
              <w:spacing w:line="268" w:lineRule="auto"/>
              <w:rPr>
                <w:rFonts w:ascii="Arial"/>
                <w:sz w:val="21"/>
              </w:rPr>
            </w:pPr>
          </w:p>
          <w:p w14:paraId="7ACBCB97">
            <w:pPr>
              <w:spacing w:line="269" w:lineRule="auto"/>
              <w:rPr>
                <w:rFonts w:ascii="Arial"/>
                <w:sz w:val="21"/>
              </w:rPr>
            </w:pPr>
          </w:p>
          <w:p w14:paraId="4B5324CA">
            <w:pPr>
              <w:spacing w:line="269" w:lineRule="auto"/>
              <w:rPr>
                <w:rFonts w:ascii="Arial"/>
                <w:sz w:val="21"/>
              </w:rPr>
            </w:pPr>
          </w:p>
          <w:p w14:paraId="6C97AAC3">
            <w:pPr>
              <w:spacing w:line="269" w:lineRule="auto"/>
              <w:rPr>
                <w:rFonts w:ascii="Arial"/>
                <w:sz w:val="21"/>
              </w:rPr>
            </w:pPr>
          </w:p>
          <w:p w14:paraId="44BC09F4">
            <w:pPr>
              <w:pStyle w:val="4"/>
              <w:spacing w:before="78" w:line="335" w:lineRule="exact"/>
              <w:ind w:left="340"/>
            </w:pPr>
            <w:r>
              <w:rPr>
                <w:spacing w:val="-3"/>
                <w:position w:val="1"/>
              </w:rPr>
              <w:t>**</w:t>
            </w:r>
          </w:p>
        </w:tc>
      </w:tr>
    </w:tbl>
    <w:p w14:paraId="032C2D56">
      <w:pPr>
        <w:rPr>
          <w:rFonts w:ascii="Arial"/>
          <w:sz w:val="21"/>
        </w:rPr>
      </w:pPr>
    </w:p>
    <w:p w14:paraId="7EA7FF5F"/>
    <w:sectPr>
      <w:headerReference r:id="rId5" w:type="default"/>
      <w:footerReference r:id="rId6" w:type="default"/>
      <w:pgSz w:w="16860" w:h="11980"/>
      <w:pgMar w:top="1665" w:right="1045" w:bottom="1217" w:left="764" w:header="1172" w:footer="91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EA9EC">
    <w:pPr>
      <w:spacing w:line="231" w:lineRule="auto"/>
      <w:ind w:left="7215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224BC">
    <w:pPr>
      <w:spacing w:before="84" w:line="224" w:lineRule="auto"/>
      <w:ind w:left="125"/>
      <w:rPr>
        <w:rFonts w:ascii="黑体" w:hAnsi="黑体" w:eastAsia="黑体" w:cs="黑体"/>
        <w:sz w:val="32"/>
        <w:szCs w:val="32"/>
      </w:rPr>
    </w:pPr>
    <w:r>
      <w:rPr>
        <w:rFonts w:ascii="黑体" w:hAnsi="黑体" w:eastAsia="黑体" w:cs="黑体"/>
        <w:spacing w:val="32"/>
        <w:sz w:val="32"/>
        <w:szCs w:val="32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3163A2"/>
    <w:rsid w:val="6D31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2026-08-15T01:32:00Z</dcterms:created>
  <dc:creator>涂茜</dc:creator>
  <cp:lastModifiedBy>涂茜</cp:lastModifiedBy>
  <dcterms:modified xsi:type="dcterms:W3CDTF">2026-08-15T01:33:55Z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02D3670C1D054FFABCE9D0CCD26BBFAE_11</vt:lpwstr>
  </property>
  <property fmtid="{D5CDD505-2E9C-101B-9397-08002B2CF9AE}" pid="4" name="KSOTemplateDocerSaveRecord">
    <vt:lpwstr>eyJoZGlkIjoiY2M1YTczZGU4MzhhZjdmZGYzY2FlOTdiMDE4OWQ1ZjUiLCJ1c2VySWQiOiIxNzQ0NjM5MzU3In0=</vt:lpwstr>
  </property>
</Properties>
</file>