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8573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color w:val="auto"/>
          <w:kern w:val="0"/>
          <w:sz w:val="32"/>
          <w:szCs w:val="32"/>
          <w:highlight w:val="none"/>
          <w:lang w:eastAsia="zh-CN"/>
        </w:rPr>
      </w:pPr>
      <w:bookmarkStart w:id="4" w:name="_GoBack"/>
      <w:bookmarkEnd w:id="4"/>
      <w:r>
        <w:rPr>
          <w:rFonts w:hint="default" w:ascii="Times New Roman" w:hAnsi="Times New Roman" w:eastAsia="黑体" w:cs="Times New Roman"/>
          <w:color w:val="auto"/>
          <w:kern w:val="0"/>
          <w:sz w:val="32"/>
          <w:szCs w:val="32"/>
          <w:highlight w:val="none"/>
        </w:rPr>
        <w:t>附</w:t>
      </w:r>
      <w:r>
        <w:rPr>
          <w:rFonts w:hint="default" w:ascii="Times New Roman" w:hAnsi="Times New Roman" w:eastAsia="黑体" w:cs="Times New Roman"/>
          <w:color w:val="auto"/>
          <w:kern w:val="0"/>
          <w:sz w:val="32"/>
          <w:szCs w:val="32"/>
          <w:highlight w:val="none"/>
          <w:lang w:eastAsia="zh-CN"/>
        </w:rPr>
        <w:t>件</w:t>
      </w:r>
    </w:p>
    <w:p w14:paraId="6EB27125">
      <w:pPr>
        <w:keepNext w:val="0"/>
        <w:keepLines w:val="0"/>
        <w:pageBreakBefore w:val="0"/>
        <w:widowControl w:val="0"/>
        <w:kinsoku/>
        <w:overflowPunct/>
        <w:topLinePunct w:val="0"/>
        <w:bidi w:val="0"/>
        <w:spacing w:line="600" w:lineRule="exact"/>
        <w:jc w:val="center"/>
        <w:rPr>
          <w:rFonts w:hint="default" w:ascii="Times New Roman" w:hAnsi="Times New Roman" w:eastAsia="方正小标宋简体" w:cs="Times New Roman"/>
          <w:b w:val="0"/>
          <w:bCs w:val="0"/>
          <w:sz w:val="44"/>
          <w:szCs w:val="44"/>
          <w:u w:val="none"/>
        </w:rPr>
      </w:pPr>
    </w:p>
    <w:p w14:paraId="0B30AB2D">
      <w:pPr>
        <w:keepNext w:val="0"/>
        <w:keepLines w:val="0"/>
        <w:pageBreakBefore w:val="0"/>
        <w:widowControl w:val="0"/>
        <w:kinsoku/>
        <w:overflowPunct/>
        <w:topLinePunct w:val="0"/>
        <w:bidi w:val="0"/>
        <w:spacing w:line="600" w:lineRule="exact"/>
        <w:jc w:val="center"/>
        <w:rPr>
          <w:rFonts w:hint="default" w:ascii="Times New Roman" w:hAnsi="Times New Roman" w:eastAsia="方正小标宋简体" w:cs="Times New Roman"/>
          <w:b w:val="0"/>
          <w:bCs w:val="0"/>
          <w:sz w:val="44"/>
          <w:szCs w:val="44"/>
          <w:u w:val="none"/>
        </w:rPr>
      </w:pPr>
      <w:r>
        <w:rPr>
          <w:rFonts w:hint="default" w:ascii="Times New Roman" w:hAnsi="Times New Roman" w:eastAsia="方正小标宋简体" w:cs="Times New Roman"/>
          <w:b w:val="0"/>
          <w:bCs w:val="0"/>
          <w:sz w:val="44"/>
          <w:szCs w:val="44"/>
          <w:u w:val="none"/>
        </w:rPr>
        <w:t>2026年度省自然科学基金联合基金</w:t>
      </w:r>
    </w:p>
    <w:p w14:paraId="7131F037">
      <w:pPr>
        <w:keepNext w:val="0"/>
        <w:keepLines w:val="0"/>
        <w:pageBreakBefore w:val="0"/>
        <w:widowControl w:val="0"/>
        <w:kinsoku/>
        <w:overflowPunct/>
        <w:topLinePunct w:val="0"/>
        <w:bidi w:val="0"/>
        <w:spacing w:line="600" w:lineRule="exact"/>
        <w:jc w:val="center"/>
        <w:rPr>
          <w:rFonts w:hint="default" w:ascii="Times New Roman" w:hAnsi="Times New Roman" w:eastAsia="黑体" w:cs="Times New Roman"/>
          <w:b w:val="0"/>
          <w:bCs w:val="0"/>
          <w:sz w:val="32"/>
          <w:szCs w:val="32"/>
          <w:u w:val="none"/>
        </w:rPr>
      </w:pPr>
      <w:r>
        <w:rPr>
          <w:rFonts w:hint="default" w:ascii="Times New Roman" w:hAnsi="Times New Roman" w:eastAsia="方正小标宋简体" w:cs="Times New Roman"/>
          <w:b w:val="0"/>
          <w:bCs w:val="0"/>
          <w:sz w:val="44"/>
          <w:szCs w:val="44"/>
          <w:u w:val="none"/>
          <w:lang w:val="en-US" w:eastAsia="zh-CN"/>
        </w:rPr>
        <w:t>项目申报指南</w:t>
      </w:r>
    </w:p>
    <w:p w14:paraId="0320979A">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黑体" w:cs="Times New Roman"/>
          <w:color w:val="auto"/>
          <w:kern w:val="0"/>
          <w:sz w:val="32"/>
          <w:szCs w:val="32"/>
        </w:rPr>
      </w:pPr>
    </w:p>
    <w:p w14:paraId="53E58559">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黑体" w:cs="Times New Roman"/>
          <w:sz w:val="32"/>
          <w:szCs w:val="32"/>
          <w:u w:val="none"/>
        </w:rPr>
      </w:pPr>
      <w:r>
        <w:rPr>
          <w:rFonts w:hint="default" w:ascii="Times New Roman" w:hAnsi="Times New Roman" w:eastAsia="黑体" w:cs="Times New Roman"/>
          <w:color w:val="auto"/>
          <w:kern w:val="0"/>
          <w:sz w:val="32"/>
          <w:szCs w:val="32"/>
        </w:rPr>
        <w:t>一、省自然科学基金南昌创新发展联合基金指南</w:t>
      </w:r>
    </w:p>
    <w:p w14:paraId="773A154D">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楷体_GB2312" w:cs="Times New Roman"/>
          <w:b/>
          <w:bCs/>
          <w:sz w:val="32"/>
          <w:szCs w:val="32"/>
          <w:u w:val="none"/>
          <w:lang w:eastAsia="zh-CN"/>
        </w:rPr>
      </w:pPr>
      <w:r>
        <w:rPr>
          <w:rFonts w:hint="default" w:ascii="Times New Roman" w:hAnsi="Times New Roman" w:eastAsia="楷体_GB2312" w:cs="Times New Roman"/>
          <w:b/>
          <w:bCs/>
          <w:sz w:val="32"/>
          <w:szCs w:val="32"/>
          <w:u w:val="none"/>
          <w:lang w:eastAsia="zh-CN"/>
        </w:rPr>
        <w:t>（</w:t>
      </w:r>
      <w:r>
        <w:rPr>
          <w:rFonts w:hint="default" w:ascii="Times New Roman" w:hAnsi="Times New Roman" w:eastAsia="楷体_GB2312" w:cs="Times New Roman"/>
          <w:b/>
          <w:bCs/>
          <w:sz w:val="32"/>
          <w:szCs w:val="32"/>
          <w:u w:val="none"/>
          <w:lang w:val="en-US" w:eastAsia="zh-CN"/>
        </w:rPr>
        <w:t>一</w:t>
      </w:r>
      <w:r>
        <w:rPr>
          <w:rFonts w:hint="default" w:ascii="Times New Roman" w:hAnsi="Times New Roman" w:eastAsia="楷体_GB2312" w:cs="Times New Roman"/>
          <w:b/>
          <w:bCs/>
          <w:sz w:val="32"/>
          <w:szCs w:val="32"/>
          <w:u w:val="none"/>
          <w:lang w:eastAsia="zh-CN"/>
        </w:rPr>
        <w:t>）</w:t>
      </w:r>
      <w:r>
        <w:rPr>
          <w:rFonts w:hint="default" w:ascii="Times New Roman" w:hAnsi="Times New Roman" w:eastAsia="楷体_GB2312" w:cs="Times New Roman"/>
          <w:b/>
          <w:bCs/>
          <w:sz w:val="32"/>
          <w:szCs w:val="32"/>
          <w:u w:val="none"/>
        </w:rPr>
        <w:t>电子信息领域</w:t>
      </w:r>
    </w:p>
    <w:p w14:paraId="6AC91B2F">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1</w:t>
      </w:r>
      <w:r>
        <w:rPr>
          <w:rFonts w:hint="default" w:ascii="Times New Roman" w:hAnsi="Times New Roman" w:eastAsia="仿宋_GB2312" w:cs="Times New Roman"/>
          <w:b/>
          <w:bCs/>
          <w:sz w:val="32"/>
          <w:szCs w:val="32"/>
          <w:u w:val="none"/>
        </w:rPr>
        <w:t>．复杂工业场景下PCB表面微小缺陷视觉感知与智能检测方法研究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0560559B">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sz w:val="32"/>
          <w:szCs w:val="32"/>
          <w:u w:val="none"/>
        </w:rPr>
        <w:t>面向PCB制造中成像背景复杂、缺陷尺度微小以及在线实时检测等挑战，揭示微小缺陷在高密度线路背景下的视觉显著性表征与稳定感知机理，研究多尺度特征表达、局部与全局上下文建模以及数据不均衡条件下的微小缺陷智能检测方法，突破检测精度、鲁棒性与实时性等关键问题。</w:t>
      </w:r>
    </w:p>
    <w:p w14:paraId="4B6FE1A7">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2</w:t>
      </w:r>
      <w:r>
        <w:rPr>
          <w:rFonts w:hint="default" w:ascii="Times New Roman" w:hAnsi="Times New Roman" w:eastAsia="仿宋_GB2312" w:cs="Times New Roman"/>
          <w:b/>
          <w:bCs/>
          <w:sz w:val="32"/>
          <w:szCs w:val="32"/>
          <w:u w:val="none"/>
        </w:rPr>
        <w:t>．面</w:t>
      </w:r>
      <w:r>
        <w:rPr>
          <w:rFonts w:hint="default" w:ascii="Times New Roman" w:hAnsi="Times New Roman" w:eastAsia="仿宋_GB2312" w:cs="Times New Roman"/>
          <w:b/>
          <w:bCs/>
          <w:spacing w:val="-6"/>
          <w:sz w:val="32"/>
          <w:szCs w:val="32"/>
          <w:u w:val="none"/>
        </w:rPr>
        <w:t>向自然交互的大尺度动态场景空间建模与语义感知研究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17E3859C">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XR在大尺度、高动态环境下几何表征非连续、空间语义逻辑缺失等关键问题，探索基于时空演化特征的动态空间高保真建模理论，建立多模态感知数据向层次化动态场景图的结构化映射模型；揭示动态目标与复杂背景在语义维度的关联演化规律，研究端云异构环境下的感知任务调度与同步方法，为XR高保真自然交互体系构建提供算法基础。</w:t>
      </w:r>
    </w:p>
    <w:p w14:paraId="46C0447F">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3</w:t>
      </w:r>
      <w:r>
        <w:rPr>
          <w:rFonts w:hint="default" w:ascii="Times New Roman" w:hAnsi="Times New Roman" w:eastAsia="仿宋_GB2312" w:cs="Times New Roman"/>
          <w:b/>
          <w:bCs/>
          <w:sz w:val="32"/>
          <w:szCs w:val="32"/>
          <w:u w:val="none"/>
        </w:rPr>
        <w:t>．面向视力矫正与可穿戴视觉应用的大孔径电控可变焦液晶透镜技术研究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1D188E0C">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围绕视力矫正与可穿戴视觉系统对电控可变焦液晶透镜的应用需求，聚焦大孔径条件下电极结构对液晶指向矢分布及空间相位形成机理这一科学问题，研究电极结构与驱动方式对电场分布、液晶指向矢分布及相位调控精度的影响，探索由电极结构设计到相位分布调控的可量化设计与驱动方法，为高性能液晶透镜的应用提供基础研究。</w:t>
      </w:r>
    </w:p>
    <w:p w14:paraId="484B61CD">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4</w:t>
      </w:r>
      <w:r>
        <w:rPr>
          <w:rFonts w:hint="default" w:ascii="Times New Roman" w:hAnsi="Times New Roman" w:eastAsia="仿宋_GB2312" w:cs="Times New Roman"/>
          <w:b/>
          <w:bCs/>
          <w:sz w:val="32"/>
          <w:szCs w:val="32"/>
          <w:u w:val="none"/>
        </w:rPr>
        <w:t>．基于无人机视觉感知的桥梁表观病害精准识别与智能评价研究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59A5A717">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围绕桥梁表观病害智能诊断与量化评估重大需求，研究面向桥梁巡检的高动态环境无人机多模态数据智能采集与增强方法，构建基于小样本学习与领域自适应的桥梁病害精准识别模型，提出融合视觉与结构先验知识的病害几何参数反演与状态评估算法，实现病害的检测-分割-测量-评估全流程智能化，为交通基础设施科学管养提供核心支撑。</w:t>
      </w:r>
    </w:p>
    <w:p w14:paraId="0C18D652">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5</w:t>
      </w:r>
      <w:r>
        <w:rPr>
          <w:rFonts w:hint="default" w:ascii="Times New Roman" w:hAnsi="Times New Roman" w:eastAsia="仿宋_GB2312" w:cs="Times New Roman"/>
          <w:b/>
          <w:bCs/>
          <w:sz w:val="32"/>
          <w:szCs w:val="32"/>
          <w:u w:val="none"/>
        </w:rPr>
        <w:t>．面向航空制造的工艺指令智能可信生成技术研究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25D8D52A">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航空制造工艺知识融合不足、多维度约束协同薄弱、生成指令可信度低等核心问题，通过研究工艺要素本体与动态知识图谱实现知识结构化；构建分层检索架构与工艺规则、物理特性、企业规范实现三维约束融合；构建知识与约束双驱动的大模型生成体系，结合数值推理链追溯方式保障参数可验证性，最终实现航空结构件工艺指令的智能可靠生成与快速迭代优化。</w:t>
      </w:r>
    </w:p>
    <w:p w14:paraId="22E5ECF5">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6</w:t>
      </w:r>
      <w:r>
        <w:rPr>
          <w:rFonts w:hint="default" w:ascii="Times New Roman" w:hAnsi="Times New Roman" w:eastAsia="仿宋_GB2312" w:cs="Times New Roman"/>
          <w:b/>
          <w:bCs/>
          <w:sz w:val="32"/>
          <w:szCs w:val="32"/>
          <w:u w:val="none"/>
        </w:rPr>
        <w:t>．透射式实时定量相位成像技术研究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35EA02AA">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定量相位成像中干涉式光路复杂、相移法成像速度慢等瓶颈，建立透射式光自旋霍尔微分机理与定量模型，空间分辨率灵敏度优于5μm；研究基于微分机理的实时高保真相位重构算法，单帧相位重构时间&lt;25ms；研发紧凑型实时成像系统，系统成像帧率≥30fps，并开展综合性能验证。</w:t>
      </w:r>
    </w:p>
    <w:p w14:paraId="0837551B">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pacing w:val="-6"/>
          <w:sz w:val="32"/>
          <w:szCs w:val="32"/>
          <w:u w:val="none"/>
        </w:rPr>
      </w:pPr>
      <w:r>
        <w:rPr>
          <w:rFonts w:hint="default" w:ascii="Times New Roman" w:hAnsi="Times New Roman" w:eastAsia="仿宋_GB2312" w:cs="Times New Roman"/>
          <w:b/>
          <w:bCs/>
          <w:sz w:val="32"/>
          <w:szCs w:val="32"/>
          <w:u w:val="none"/>
          <w:lang w:val="en-US" w:eastAsia="zh-CN"/>
        </w:rPr>
        <w:t>7</w:t>
      </w:r>
      <w:r>
        <w:rPr>
          <w:rFonts w:hint="default" w:ascii="Times New Roman" w:hAnsi="Times New Roman" w:eastAsia="仿宋_GB2312" w:cs="Times New Roman"/>
          <w:b/>
          <w:bCs/>
          <w:sz w:val="32"/>
          <w:szCs w:val="32"/>
          <w:u w:val="none"/>
        </w:rPr>
        <w:t>．面</w:t>
      </w:r>
      <w:r>
        <w:rPr>
          <w:rFonts w:hint="default" w:ascii="Times New Roman" w:hAnsi="Times New Roman" w:eastAsia="仿宋_GB2312" w:cs="Times New Roman"/>
          <w:b/>
          <w:bCs/>
          <w:spacing w:val="-6"/>
          <w:sz w:val="32"/>
          <w:szCs w:val="32"/>
          <w:u w:val="none"/>
        </w:rPr>
        <w:t>向VR大空间的AI增强型多模态协同SLAM定位技术研究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5CE1CDD4">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VR大空间定位鲁棒性与市场价格平衡，以及多源异构特征跨模态智能对齐、语义图谱分布式一致性等关键科学问题，研究AI驱动的深度紧耦合定位架构，融合激光、视觉与电磁波特征，构建基于神经网络表征的动态场景图谱；攻克跨节点协作下的感知共识算法，实现大空间实时高精度定位，为VR大空间高鲁棒性定位提供智能感知理论支撑。</w:t>
      </w:r>
    </w:p>
    <w:p w14:paraId="79A5C971">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8</w:t>
      </w:r>
      <w:r>
        <w:rPr>
          <w:rFonts w:hint="default" w:ascii="Times New Roman" w:hAnsi="Times New Roman" w:eastAsia="仿宋_GB2312" w:cs="Times New Roman"/>
          <w:b/>
          <w:bCs/>
          <w:sz w:val="32"/>
          <w:szCs w:val="32"/>
          <w:u w:val="none"/>
        </w:rPr>
        <w:t>．基于多模态神经影像的自然语言解码技术研究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40DCD012">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人脑在自然语言加工中的表征机制，基于FMRI、EEG等多模态神经影像数据，提出高精度、可解释的自然语言解码方法。研究跨模态时空对齐、低信噪稳健表征、跨被试迁移与可解释解码等技术，构建面向语义、句法层级的高精度解码模型与验证体系，为人机交互及临床评估应用提供基础支撑。</w:t>
      </w:r>
    </w:p>
    <w:p w14:paraId="3605E5F8">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9</w:t>
      </w:r>
      <w:r>
        <w:rPr>
          <w:rFonts w:hint="default" w:ascii="Times New Roman" w:hAnsi="Times New Roman" w:eastAsia="仿宋_GB2312" w:cs="Times New Roman"/>
          <w:b/>
          <w:bCs/>
          <w:sz w:val="32"/>
          <w:szCs w:val="32"/>
          <w:u w:val="none"/>
        </w:rPr>
        <w:t>．AI多智能体集群协同建模与可信验证技术研究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29928021">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复杂任务下AI多智能体集群任务编排低效、协同不可信等共性难题，研究智能体特征形式化表征、集群协同建模与可信验证方法，设计任务自动分解与编排策略，提升集群复杂场景作业效率与运行可靠性，为多领域AI群体智能应用提供技术支撑。</w:t>
      </w:r>
    </w:p>
    <w:p w14:paraId="6D0525D8">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1</w:t>
      </w:r>
      <w:r>
        <w:rPr>
          <w:rFonts w:hint="default" w:ascii="Times New Roman" w:hAnsi="Times New Roman" w:eastAsia="仿宋_GB2312" w:cs="Times New Roman"/>
          <w:b/>
          <w:bCs/>
          <w:sz w:val="32"/>
          <w:szCs w:val="32"/>
          <w:u w:val="none"/>
          <w:lang w:val="en-US" w:eastAsia="zh-CN"/>
        </w:rPr>
        <w:t>0</w:t>
      </w:r>
      <w:r>
        <w:rPr>
          <w:rFonts w:hint="default" w:ascii="Times New Roman" w:hAnsi="Times New Roman" w:eastAsia="仿宋_GB2312" w:cs="Times New Roman"/>
          <w:b/>
          <w:bCs/>
          <w:sz w:val="32"/>
          <w:szCs w:val="32"/>
          <w:u w:val="none"/>
        </w:rPr>
        <w:t>．基于离散三维荧光光谱的水质多参数原位监测技术研究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78667747">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南昌及鄱阳湖流域河湖库在线监测中高浊度、高色度等导致叶绿素a测量误差大的问题，研究叶绿素a、CDOM与浊度的光谱特征及干扰机理，构建基于离散三维荧光光谱的水质“光谱指纹”，建立三参数定量模型与叶绿素a的抗干扰模型，开发可现场部署的原位检测系统并开展应用验证。</w:t>
      </w:r>
    </w:p>
    <w:p w14:paraId="341C0F23">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1</w:t>
      </w:r>
      <w:r>
        <w:rPr>
          <w:rFonts w:hint="default" w:ascii="Times New Roman" w:hAnsi="Times New Roman" w:eastAsia="仿宋_GB2312" w:cs="Times New Roman"/>
          <w:b/>
          <w:bCs/>
          <w:sz w:val="32"/>
          <w:szCs w:val="32"/>
          <w:u w:val="none"/>
          <w:lang w:val="en-US" w:eastAsia="zh-CN"/>
        </w:rPr>
        <w:t>1</w:t>
      </w:r>
      <w:r>
        <w:rPr>
          <w:rFonts w:hint="default" w:ascii="Times New Roman" w:hAnsi="Times New Roman" w:eastAsia="仿宋_GB2312" w:cs="Times New Roman"/>
          <w:b/>
          <w:bCs/>
          <w:sz w:val="32"/>
          <w:szCs w:val="32"/>
          <w:u w:val="none"/>
        </w:rPr>
        <w:t>．复杂工况下大位移电涡流传感器的抗干扰机理与技术研究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09334B45">
      <w:pPr>
        <w:keepNext w:val="0"/>
        <w:keepLines w:val="0"/>
        <w:pageBreakBefore w:val="0"/>
        <w:widowControl w:val="0"/>
        <w:kinsoku/>
        <w:overflowPunct/>
        <w:topLinePunct w:val="0"/>
        <w:bidi w:val="0"/>
        <w:spacing w:line="600" w:lineRule="exact"/>
        <w:ind w:firstLine="616" w:firstLineChars="200"/>
        <w:rPr>
          <w:rFonts w:hint="default" w:ascii="Times New Roman" w:hAnsi="Times New Roman" w:eastAsia="仿宋_GB2312" w:cs="Times New Roman"/>
          <w:spacing w:val="-6"/>
          <w:sz w:val="32"/>
          <w:szCs w:val="32"/>
          <w:u w:val="none"/>
        </w:rPr>
      </w:pPr>
      <w:r>
        <w:rPr>
          <w:rFonts w:hint="default" w:ascii="Times New Roman" w:hAnsi="Times New Roman" w:eastAsia="仿宋_GB2312" w:cs="Times New Roman"/>
          <w:spacing w:val="-6"/>
          <w:sz w:val="32"/>
          <w:szCs w:val="32"/>
          <w:u w:val="none"/>
        </w:rPr>
        <w:t>针对重大工程健康监测中位移传感器在宽温域、大跨度工况下温漂严重、非线性误差大的共性难题，开展电磁场-电路耦合建模与多维解耦技术研究，突破多参量联合反演方法，研制国产化高稳定抗干扰工业级传感器，实现感知元器件自主可控。</w:t>
      </w:r>
    </w:p>
    <w:p w14:paraId="74721637">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eastAsia="zh-CN"/>
        </w:rPr>
        <w:t>（</w:t>
      </w:r>
      <w:r>
        <w:rPr>
          <w:rFonts w:hint="default" w:ascii="Times New Roman" w:hAnsi="Times New Roman" w:eastAsia="楷体_GB2312" w:cs="Times New Roman"/>
          <w:b/>
          <w:bCs/>
          <w:sz w:val="32"/>
          <w:szCs w:val="32"/>
          <w:u w:val="none"/>
          <w:lang w:val="en-US" w:eastAsia="zh-CN"/>
        </w:rPr>
        <w:t>二</w:t>
      </w:r>
      <w:r>
        <w:rPr>
          <w:rFonts w:hint="default" w:ascii="Times New Roman" w:hAnsi="Times New Roman" w:eastAsia="楷体_GB2312" w:cs="Times New Roman"/>
          <w:b/>
          <w:bCs/>
          <w:sz w:val="32"/>
          <w:szCs w:val="32"/>
          <w:u w:val="none"/>
          <w:lang w:eastAsia="zh-CN"/>
        </w:rPr>
        <w:t>）</w:t>
      </w:r>
      <w:r>
        <w:rPr>
          <w:rFonts w:hint="default" w:ascii="Times New Roman" w:hAnsi="Times New Roman" w:eastAsia="楷体_GB2312" w:cs="Times New Roman"/>
          <w:b/>
          <w:bCs/>
          <w:sz w:val="32"/>
          <w:szCs w:val="32"/>
          <w:u w:val="none"/>
        </w:rPr>
        <w:t>新材料领域</w:t>
      </w:r>
    </w:p>
    <w:p w14:paraId="098C4B1A">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1．高衍射效率低体积收缩率全息体光栅材料研究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63755574">
      <w:pPr>
        <w:keepNext w:val="0"/>
        <w:keepLines w:val="0"/>
        <w:pageBreakBefore w:val="0"/>
        <w:widowControl w:val="0"/>
        <w:kinsoku/>
        <w:overflowPunct/>
        <w:topLinePunct w:val="0"/>
        <w:bidi w:val="0"/>
        <w:spacing w:line="600" w:lineRule="exact"/>
        <w:ind w:firstLine="624" w:firstLineChars="200"/>
        <w:rPr>
          <w:rFonts w:hint="default" w:ascii="Times New Roman" w:hAnsi="Times New Roman" w:eastAsia="仿宋_GB2312" w:cs="Times New Roman"/>
          <w:spacing w:val="-4"/>
          <w:sz w:val="32"/>
          <w:szCs w:val="32"/>
          <w:u w:val="none"/>
        </w:rPr>
      </w:pPr>
      <w:r>
        <w:rPr>
          <w:rFonts w:hint="default" w:ascii="Times New Roman" w:hAnsi="Times New Roman" w:eastAsia="仿宋_GB2312" w:cs="Times New Roman"/>
          <w:spacing w:val="-4"/>
          <w:sz w:val="32"/>
          <w:szCs w:val="32"/>
          <w:u w:val="none"/>
        </w:rPr>
        <w:t>针对光致聚合物在全息曝光过程中因体积收缩导致布拉格条件失谐，影响成像质量和系统光效率的难题，开展基于引发受限或纳米复合的新型光致聚合物体系、全息曝光过程中的传质机理与网络形成规律与光聚合动力学与体积收缩的去耦合机制研究，开展高折射率调制与低体积收缩率全息材料机理研究。</w:t>
      </w:r>
    </w:p>
    <w:p w14:paraId="7E867B83">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2．轻质耐高温陶瓷纤维隔热材料技术与性能调控研究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12DE5166">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针对轻质耐高温陶瓷纤维的国产化制备瓶颈问题，开展轻质耐高温隔热陶瓷纤维材料设计、制备工艺及多场耦合的性能演变规律与失效机理</w:t>
      </w:r>
      <w:r>
        <w:rPr>
          <w:rFonts w:hint="default" w:ascii="Times New Roman" w:hAnsi="Times New Roman" w:eastAsia="仿宋_GB2312" w:cs="Times New Roman"/>
          <w:sz w:val="32"/>
          <w:szCs w:val="32"/>
          <w:u w:val="none"/>
          <w:lang w:val="en-US" w:eastAsia="zh-CN"/>
        </w:rPr>
        <w:t>研究</w:t>
      </w:r>
      <w:r>
        <w:rPr>
          <w:rFonts w:hint="default" w:ascii="Times New Roman" w:hAnsi="Times New Roman" w:eastAsia="仿宋_GB2312" w:cs="Times New Roman"/>
          <w:sz w:val="32"/>
          <w:szCs w:val="32"/>
          <w:u w:val="none"/>
        </w:rPr>
        <w:t>，开展纤维-气孔多级梯度结构研究。</w:t>
      </w:r>
    </w:p>
    <w:p w14:paraId="1484A22F">
      <w:pPr>
        <w:pStyle w:val="4"/>
        <w:keepNext w:val="0"/>
        <w:keepLines w:val="0"/>
        <w:pageBreakBefore w:val="0"/>
        <w:widowControl w:val="0"/>
        <w:kinsoku/>
        <w:overflowPunct/>
        <w:topLinePunct w:val="0"/>
        <w:bidi w:val="0"/>
        <w:spacing w:after="0" w:line="600" w:lineRule="exact"/>
        <w:ind w:left="0" w:leftChars="0" w:firstLine="643"/>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3．耐高温氯腐蚀的长效防护涂层材料技术与性能调控研究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5B0D393B">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针对涂层在高温-氯协同作用下防护</w:t>
      </w:r>
      <w:r>
        <w:rPr>
          <w:rFonts w:hint="default" w:ascii="Times New Roman" w:hAnsi="Times New Roman" w:eastAsia="仿宋_GB2312" w:cs="Times New Roman"/>
          <w:sz w:val="32"/>
          <w:szCs w:val="32"/>
          <w:u w:val="none"/>
          <w:lang w:val="en-US" w:eastAsia="zh-CN"/>
        </w:rPr>
        <w:t>性能</w:t>
      </w:r>
      <w:r>
        <w:rPr>
          <w:rFonts w:hint="default" w:ascii="Times New Roman" w:hAnsi="Times New Roman" w:eastAsia="仿宋_GB2312" w:cs="Times New Roman"/>
          <w:sz w:val="32"/>
          <w:szCs w:val="32"/>
          <w:u w:val="none"/>
        </w:rPr>
        <w:t>失效关键问题，开展涂层成分、微观结构与其抗氯渗透、抗热震性能之间的构效关系研究，研究涂层结构在高温氯环境中的腐蚀动力学与失效机制，开展梯度化高熵合金/陶瓷复合涂层研究，建立相应的寿命预测模型，实现优异的抗氯渗透性、高温相稳定性及抗热震性能。</w:t>
      </w:r>
    </w:p>
    <w:p w14:paraId="5C1C6532">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4．硫化物基固态电解质本征失效机制与电化学稳定性调控研究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065F9CFA">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硫化物电解质电化学稳定窗口受限关键瓶颈问题，开展硫化物基全固态锂电池在动力与储能应用的机理研究；研究电子结构调变对硫化物电解质电化学稳定性的影响机制，研究硫化物电解质/锂负极界面反应行为与失效演化机制，支撑高安全、高能量密度电池体系的材料选择与结构设计。</w:t>
      </w:r>
    </w:p>
    <w:p w14:paraId="3B17C3A7">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5</w:t>
      </w:r>
      <w:r>
        <w:rPr>
          <w:rFonts w:hint="default" w:ascii="Times New Roman" w:hAnsi="Times New Roman" w:eastAsia="仿宋_GB2312" w:cs="Times New Roman"/>
          <w:b/>
          <w:bCs/>
          <w:sz w:val="32"/>
          <w:szCs w:val="32"/>
          <w:u w:val="none"/>
        </w:rPr>
        <w:t>．高强高导电高导热铜合金激光成形与控制技术研究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386B8F31">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pacing w:val="-2"/>
          <w:sz w:val="32"/>
          <w:szCs w:val="32"/>
          <w:u w:val="none"/>
        </w:rPr>
      </w:pPr>
      <w:r>
        <w:rPr>
          <w:rFonts w:hint="default" w:ascii="Times New Roman" w:hAnsi="Times New Roman" w:eastAsia="仿宋_GB2312" w:cs="Times New Roman"/>
          <w:sz w:val="32"/>
          <w:szCs w:val="32"/>
          <w:u w:val="none"/>
        </w:rPr>
        <w:t>针对新能源、电子信息及航空航天等领域对高端铜基材料的迫切需求，开展铜基导电粉体界面-结构一体化调控，开展高性能铜合金激光选区熔化成形，探明铜基材料导电、导热与力学性能协同强化机制。</w:t>
      </w:r>
    </w:p>
    <w:p w14:paraId="4D2124C6">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6</w:t>
      </w:r>
      <w:r>
        <w:rPr>
          <w:rFonts w:hint="default" w:ascii="Times New Roman" w:hAnsi="Times New Roman" w:eastAsia="仿宋_GB2312" w:cs="Times New Roman"/>
          <w:b/>
          <w:bCs/>
          <w:sz w:val="32"/>
          <w:szCs w:val="32"/>
          <w:u w:val="none"/>
        </w:rPr>
        <w:t>．超高温抗氧化稀土掺杂钨基材料设计及损伤机制研究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76467014">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针对极端环境下对钨基材料服役性能提升的重大需求，开展超细钨丝成型的钨粉形貌、纯度、分散等调控技术研究，开展超高温抗氧化稀土掺杂含钨难熔合金材料设计及极端环境损伤机制研究。</w:t>
      </w:r>
    </w:p>
    <w:p w14:paraId="7A0890B2">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7</w:t>
      </w:r>
      <w:r>
        <w:rPr>
          <w:rFonts w:hint="default" w:ascii="Times New Roman" w:hAnsi="Times New Roman" w:eastAsia="仿宋_GB2312" w:cs="Times New Roman"/>
          <w:b/>
          <w:bCs/>
          <w:sz w:val="32"/>
          <w:szCs w:val="32"/>
          <w:u w:val="none"/>
        </w:rPr>
        <w:t>．基于锆英砂资源循环的稀有金属提取与保存技术研究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1BA326CF">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rPr>
        <w:t>针对稀有金属材料的绿色高效提取与高附加值材料制备难题，开展锆英砂伴生钪资源的提取与分离机制研究，开展高纯氧化钪纳米粉体可控制备与性能调控，开展钪基材料结构设计、性能优化与应用基础研究</w:t>
      </w:r>
      <w:r>
        <w:rPr>
          <w:rFonts w:hint="default" w:ascii="Times New Roman" w:hAnsi="Times New Roman" w:eastAsia="仿宋_GB2312" w:cs="Times New Roman"/>
          <w:sz w:val="32"/>
          <w:szCs w:val="32"/>
          <w:u w:val="none"/>
          <w:lang w:eastAsia="zh-CN"/>
        </w:rPr>
        <w:t>。</w:t>
      </w:r>
    </w:p>
    <w:p w14:paraId="1967D490">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eastAsia="zh-CN"/>
        </w:rPr>
        <w:t>（</w:t>
      </w:r>
      <w:r>
        <w:rPr>
          <w:rFonts w:hint="default" w:ascii="Times New Roman" w:hAnsi="Times New Roman" w:eastAsia="楷体_GB2312" w:cs="Times New Roman"/>
          <w:b/>
          <w:bCs/>
          <w:sz w:val="32"/>
          <w:szCs w:val="32"/>
          <w:u w:val="none"/>
          <w:lang w:val="en-US" w:eastAsia="zh-CN"/>
        </w:rPr>
        <w:t>三</w:t>
      </w:r>
      <w:r>
        <w:rPr>
          <w:rFonts w:hint="default" w:ascii="Times New Roman" w:hAnsi="Times New Roman" w:eastAsia="楷体_GB2312" w:cs="Times New Roman"/>
          <w:b/>
          <w:bCs/>
          <w:sz w:val="32"/>
          <w:szCs w:val="32"/>
          <w:u w:val="none"/>
          <w:lang w:eastAsia="zh-CN"/>
        </w:rPr>
        <w:t>）</w:t>
      </w:r>
      <w:r>
        <w:rPr>
          <w:rFonts w:hint="default" w:ascii="Times New Roman" w:hAnsi="Times New Roman" w:eastAsia="楷体_GB2312" w:cs="Times New Roman"/>
          <w:b/>
          <w:bCs/>
          <w:sz w:val="32"/>
          <w:szCs w:val="32"/>
          <w:u w:val="none"/>
        </w:rPr>
        <w:t>医药健康领域</w:t>
      </w:r>
    </w:p>
    <w:p w14:paraId="3F1A89F2">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1</w:t>
      </w:r>
      <w:r>
        <w:rPr>
          <w:rFonts w:hint="default" w:ascii="Times New Roman" w:hAnsi="Times New Roman" w:eastAsia="仿宋_GB2312" w:cs="Times New Roman"/>
          <w:b/>
          <w:bCs/>
          <w:sz w:val="32"/>
          <w:szCs w:val="32"/>
          <w:u w:val="none"/>
        </w:rPr>
        <w:t>．肥胖精准分型与干预应用及机制研究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6767F1AD">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围绕肥胖精准分型与干预，开展慢病管理、分型诊疗及心理营养运动等全程干预，探索新型体重管理模式，研发肥胖AI智能诊治体系，开展相关机制研究，建立量化评价体系，形成可推广的肥胖精准诊疗模式。</w:t>
      </w:r>
    </w:p>
    <w:p w14:paraId="64FD7B88">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2</w:t>
      </w:r>
      <w:r>
        <w:rPr>
          <w:rFonts w:hint="default" w:ascii="Times New Roman" w:hAnsi="Times New Roman" w:eastAsia="仿宋_GB2312" w:cs="Times New Roman"/>
          <w:b/>
          <w:bCs/>
          <w:sz w:val="32"/>
          <w:szCs w:val="32"/>
          <w:u w:val="none"/>
        </w:rPr>
        <w:t>．艾滋病免疫重建不良的发生机制研究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2366B9AF">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聚焦艾滋病免疫重建不良核心机制，探索免疫重建不良者与良好者的骨髓造血功能、造血微环境及免疫细胞发育差异，结合</w:t>
      </w:r>
      <w:r>
        <w:rPr>
          <w:rFonts w:hint="default" w:ascii="Times New Roman" w:hAnsi="Times New Roman" w:eastAsia="仿宋_GB2312" w:cs="Times New Roman"/>
          <w:sz w:val="32"/>
          <w:szCs w:val="32"/>
          <w:u w:val="none"/>
          <w:lang w:val="en-US" w:eastAsia="zh-CN"/>
        </w:rPr>
        <w:t>单细胞</w:t>
      </w:r>
      <w:r>
        <w:rPr>
          <w:rFonts w:hint="default" w:ascii="Times New Roman" w:hAnsi="Times New Roman" w:eastAsia="仿宋_GB2312" w:cs="Times New Roman"/>
          <w:sz w:val="32"/>
          <w:szCs w:val="32"/>
          <w:u w:val="none"/>
        </w:rPr>
        <w:t>多组学解析病毒储存库、慢性炎症、免疫耗竭与肠道微生态等关键通路，阐明免疫重建缺陷机制，筛选预警标志物与干预靶点。</w:t>
      </w:r>
    </w:p>
    <w:p w14:paraId="37486D24">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3</w:t>
      </w:r>
      <w:r>
        <w:rPr>
          <w:rFonts w:hint="default" w:ascii="Times New Roman" w:hAnsi="Times New Roman" w:eastAsia="仿宋_GB2312" w:cs="Times New Roman"/>
          <w:b/>
          <w:bCs/>
          <w:sz w:val="32"/>
          <w:szCs w:val="32"/>
          <w:u w:val="none"/>
        </w:rPr>
        <w:t>．功能活菌药物开发及临床应用</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154D9C41">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聚焦功能益生菌筛选与临床转化，运用宏基因组学、培养组学等技术挖掘新型功能活菌，解析其在调控肠炎等疾病中的作用，通过动物实验及细胞实验验证其作用机制，并开展临床研究。</w:t>
      </w:r>
    </w:p>
    <w:p w14:paraId="407824CE">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4</w:t>
      </w:r>
      <w:r>
        <w:rPr>
          <w:rFonts w:hint="default" w:ascii="Times New Roman" w:hAnsi="Times New Roman" w:eastAsia="仿宋_GB2312" w:cs="Times New Roman"/>
          <w:b/>
          <w:bCs/>
          <w:sz w:val="32"/>
          <w:szCs w:val="32"/>
          <w:u w:val="none"/>
        </w:rPr>
        <w:t>．免疫调节促进脊髓损伤修复机制及其临床应用</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2965206B">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采用分子生物学和免疫学技术方法探讨免疫调节剂在</w:t>
      </w:r>
      <w:r>
        <w:rPr>
          <w:rFonts w:hint="default" w:ascii="Times New Roman" w:hAnsi="Times New Roman" w:eastAsia="仿宋_GB2312" w:cs="Times New Roman"/>
          <w:sz w:val="32"/>
          <w:szCs w:val="32"/>
          <w:u w:val="none"/>
          <w:lang w:val="en-US" w:eastAsia="zh-CN"/>
        </w:rPr>
        <w:t>急性</w:t>
      </w:r>
      <w:r>
        <w:rPr>
          <w:rFonts w:hint="default" w:ascii="Times New Roman" w:hAnsi="Times New Roman" w:eastAsia="仿宋_GB2312" w:cs="Times New Roman"/>
          <w:sz w:val="32"/>
          <w:szCs w:val="32"/>
          <w:u w:val="none"/>
        </w:rPr>
        <w:t>脊髓损伤修复中的作用及机制；开展临床多中心、前瞻性研究，评价免疫调节剂在脊髓损伤修复中的作用，建立脊髓损伤救治中免疫调节剂的使用方案。</w:t>
      </w:r>
    </w:p>
    <w:p w14:paraId="047DC05F">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5</w:t>
      </w:r>
      <w:r>
        <w:rPr>
          <w:rFonts w:hint="default" w:ascii="Times New Roman" w:hAnsi="Times New Roman" w:eastAsia="仿宋_GB2312" w:cs="Times New Roman"/>
          <w:b/>
          <w:bCs/>
          <w:sz w:val="32"/>
          <w:szCs w:val="32"/>
          <w:u w:val="none"/>
        </w:rPr>
        <w:t>．深层筋膜组织驱动皮肤创伤无瘢痕再生的机制研究与临床转化</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412A3563">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结合单细胞时空组学，解析老年筋膜成纤维细胞集群迁移的障碍机制，揭示筋膜祖细胞在皮肤深度损伤后的动员模式及向“无瘢痕修复”转化的分子开关，开发靶向筋膜层的生物活性药物。</w:t>
      </w:r>
    </w:p>
    <w:p w14:paraId="51B280B7">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6</w:t>
      </w:r>
      <w:r>
        <w:rPr>
          <w:rFonts w:hint="default" w:ascii="Times New Roman" w:hAnsi="Times New Roman" w:eastAsia="仿宋_GB2312" w:cs="Times New Roman"/>
          <w:b/>
          <w:bCs/>
          <w:sz w:val="32"/>
          <w:szCs w:val="32"/>
          <w:u w:val="none"/>
        </w:rPr>
        <w:t>．江</w:t>
      </w:r>
      <w:r>
        <w:rPr>
          <w:rFonts w:hint="default" w:ascii="Times New Roman" w:hAnsi="Times New Roman" w:eastAsia="仿宋_GB2312" w:cs="Times New Roman"/>
          <w:b/>
          <w:bCs/>
          <w:spacing w:val="-4"/>
          <w:sz w:val="32"/>
          <w:szCs w:val="32"/>
          <w:u w:val="none"/>
        </w:rPr>
        <w:t>西特色药食同源资源研发、功能食品产业化及应用研究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70633579">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立足江西特色药食同源资源，聚焦功效筛选、辨证适配与慢病康复机制等关键问题，融合中医理论与赣鄱食材优势，构建食材-证型-康复协同体系；运用人工微生物合成技术，建立品质提升、生物转化与功能食品开发三位一体研发模式。</w:t>
      </w:r>
    </w:p>
    <w:p w14:paraId="160F81CE">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7</w:t>
      </w:r>
      <w:r>
        <w:rPr>
          <w:rFonts w:hint="default" w:ascii="Times New Roman" w:hAnsi="Times New Roman" w:eastAsia="仿宋_GB2312" w:cs="Times New Roman"/>
          <w:b/>
          <w:bCs/>
          <w:sz w:val="32"/>
          <w:szCs w:val="32"/>
          <w:u w:val="none"/>
        </w:rPr>
        <w:t>．糖尿病等代谢性疾病信号调控机制及药物制剂转化研究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7EE0128F">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围绕糖尿病、代谢性骨病等代谢性疾病，聚焦关键信号通路机制，研发靶向干预新策略；系统开展处方优化、制剂工艺、质量标准、安全性和有效性、临床研究总结等，开发新型医疗机构中药制剂，开展临床转化研究。</w:t>
      </w:r>
    </w:p>
    <w:p w14:paraId="07EEDA0E">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8</w:t>
      </w:r>
      <w:r>
        <w:rPr>
          <w:rFonts w:hint="default" w:ascii="Times New Roman" w:hAnsi="Times New Roman" w:eastAsia="仿宋_GB2312" w:cs="Times New Roman"/>
          <w:b/>
          <w:bCs/>
          <w:sz w:val="32"/>
          <w:szCs w:val="32"/>
          <w:u w:val="none"/>
        </w:rPr>
        <w:t>．新型脱细胞基质在疾病中的应用及机制研究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35B6B512">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面向疾病临床防治需求，研发新型脱细胞基质生物材料，通过优化材料制备工艺，系统表征其理化与生物学性能，综合评估体内外生物安全性及治疗有效性，阐明其组织修复机制，并开展临床研究。</w:t>
      </w:r>
    </w:p>
    <w:p w14:paraId="6C90EC87">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9</w:t>
      </w:r>
      <w:r>
        <w:rPr>
          <w:rFonts w:hint="default" w:ascii="Times New Roman" w:hAnsi="Times New Roman" w:eastAsia="仿宋_GB2312" w:cs="Times New Roman"/>
          <w:b/>
          <w:bCs/>
          <w:sz w:val="32"/>
          <w:szCs w:val="32"/>
          <w:u w:val="none"/>
        </w:rPr>
        <w:t>．免疫与感染性疾病精准诊疗关键技术与机制研究及转化应用</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4BBF844E">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围绕感染、自身免疫、过敏性疾病及药物安全评价等临床关键需求，聚焦分子机制解析、新型标志物筛选与精准诊疗技术开发，开展免疫与感染性疾病的免疫代谢与分子互作机制研究，构建无创快速检测、过敏原诊断及评价体系。</w:t>
      </w:r>
    </w:p>
    <w:p w14:paraId="3CCC407F">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1</w:t>
      </w:r>
      <w:r>
        <w:rPr>
          <w:rFonts w:hint="default" w:ascii="Times New Roman" w:hAnsi="Times New Roman" w:eastAsia="仿宋_GB2312" w:cs="Times New Roman"/>
          <w:b/>
          <w:bCs/>
          <w:sz w:val="32"/>
          <w:szCs w:val="32"/>
          <w:u w:val="none"/>
          <w:lang w:val="en-US" w:eastAsia="zh-CN"/>
        </w:rPr>
        <w:t>0</w:t>
      </w:r>
      <w:r>
        <w:rPr>
          <w:rFonts w:hint="default" w:ascii="Times New Roman" w:hAnsi="Times New Roman" w:eastAsia="仿宋_GB2312" w:cs="Times New Roman"/>
          <w:b/>
          <w:bCs/>
          <w:sz w:val="32"/>
          <w:szCs w:val="32"/>
          <w:u w:val="none"/>
        </w:rPr>
        <w:t>．面</w:t>
      </w:r>
      <w:r>
        <w:rPr>
          <w:rFonts w:hint="default" w:ascii="Times New Roman" w:hAnsi="Times New Roman" w:eastAsia="仿宋_GB2312" w:cs="Times New Roman"/>
          <w:b/>
          <w:bCs/>
          <w:spacing w:val="-4"/>
          <w:sz w:val="32"/>
          <w:szCs w:val="32"/>
          <w:u w:val="none"/>
        </w:rPr>
        <w:t>向长期植入的脑机接口一体化智能抗菌修复材料研究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234DF17E">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脑机接口长期植入后易感染、炎症强及界面不稳等关键问题，构建“抑制-警示-清除-修复”一体化材料体系。通过研发微环境响应的电致变色智能涂层与仿生导电水凝胶，实现感染的可视化预警、长效广谱抗菌及神经组织原位修复。</w:t>
      </w:r>
    </w:p>
    <w:p w14:paraId="2FFC69EF">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1</w:t>
      </w:r>
      <w:r>
        <w:rPr>
          <w:rFonts w:hint="default" w:ascii="Times New Roman" w:hAnsi="Times New Roman" w:eastAsia="仿宋_GB2312" w:cs="Times New Roman"/>
          <w:b/>
          <w:bCs/>
          <w:sz w:val="32"/>
          <w:szCs w:val="32"/>
          <w:u w:val="none"/>
          <w:lang w:val="en-US" w:eastAsia="zh-CN"/>
        </w:rPr>
        <w:t>1</w:t>
      </w:r>
      <w:r>
        <w:rPr>
          <w:rFonts w:hint="default" w:ascii="Times New Roman" w:hAnsi="Times New Roman" w:eastAsia="仿宋_GB2312" w:cs="Times New Roman"/>
          <w:b/>
          <w:bCs/>
          <w:sz w:val="32"/>
          <w:szCs w:val="32"/>
          <w:u w:val="none"/>
        </w:rPr>
        <w:t>．脑部缺血性疾病创新神经保护剂的研发及机制研究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2DC2E4F5">
      <w:pPr>
        <w:keepNext w:val="0"/>
        <w:keepLines w:val="0"/>
        <w:pageBreakBefore w:val="0"/>
        <w:widowControl w:val="0"/>
        <w:kinsoku/>
        <w:overflowPunct/>
        <w:topLinePunct w:val="0"/>
        <w:bidi w:val="0"/>
        <w:spacing w:line="600" w:lineRule="exact"/>
        <w:ind w:firstLine="624" w:firstLineChars="200"/>
        <w:rPr>
          <w:rFonts w:hint="default" w:ascii="Times New Roman" w:hAnsi="Times New Roman" w:eastAsia="仿宋_GB2312" w:cs="Times New Roman"/>
          <w:spacing w:val="-4"/>
          <w:sz w:val="32"/>
          <w:szCs w:val="32"/>
          <w:u w:val="none"/>
        </w:rPr>
      </w:pPr>
      <w:r>
        <w:rPr>
          <w:rFonts w:hint="default" w:ascii="Times New Roman" w:hAnsi="Times New Roman" w:eastAsia="仿宋_GB2312" w:cs="Times New Roman"/>
          <w:spacing w:val="-4"/>
          <w:sz w:val="32"/>
          <w:szCs w:val="32"/>
          <w:u w:val="none"/>
        </w:rPr>
        <w:t>采用多靶点药物设计理念，针对脑缺血等疾病开展新型神经保护剂相关候选药物的系统筛选、结构优化与活性评价，系统阐明候选化合物在疾病中的干预效应与作用特征，综合评估其临床前成药潜力，获得具有良好应用前景的候选化合物。结合活性蛋白质组学等技术解析其分子作用靶标与调控网络。</w:t>
      </w:r>
    </w:p>
    <w:p w14:paraId="097EC885">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1</w:t>
      </w:r>
      <w:r>
        <w:rPr>
          <w:rFonts w:hint="default" w:ascii="Times New Roman" w:hAnsi="Times New Roman" w:eastAsia="仿宋_GB2312" w:cs="Times New Roman"/>
          <w:b/>
          <w:bCs/>
          <w:sz w:val="32"/>
          <w:szCs w:val="32"/>
          <w:u w:val="none"/>
          <w:lang w:val="en-US" w:eastAsia="zh-CN"/>
        </w:rPr>
        <w:t>2</w:t>
      </w:r>
      <w:r>
        <w:rPr>
          <w:rFonts w:hint="default" w:ascii="Times New Roman" w:hAnsi="Times New Roman" w:eastAsia="仿宋_GB2312" w:cs="Times New Roman"/>
          <w:b/>
          <w:bCs/>
          <w:sz w:val="32"/>
          <w:szCs w:val="32"/>
          <w:u w:val="none"/>
        </w:rPr>
        <w:t>．基于AI赋能的治疗肺损伤的药物活性成分发现、靶点识别与成药性评价</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3243DF82">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整合现代分析技术与多组学方法，建立AI预测-分子探针-靶点验证三维关联</w:t>
      </w:r>
      <w:r>
        <w:rPr>
          <w:rFonts w:hint="default" w:ascii="Times New Roman" w:hAnsi="Times New Roman" w:eastAsia="仿宋_GB2312" w:cs="Times New Roman"/>
          <w:sz w:val="32"/>
          <w:szCs w:val="32"/>
          <w:u w:val="none"/>
          <w:lang w:val="en-US" w:eastAsia="zh-CN"/>
        </w:rPr>
        <w:t>脑损伤模型</w:t>
      </w:r>
      <w:r>
        <w:rPr>
          <w:rFonts w:hint="default" w:ascii="Times New Roman" w:hAnsi="Times New Roman" w:eastAsia="仿宋_GB2312" w:cs="Times New Roman"/>
          <w:sz w:val="32"/>
          <w:szCs w:val="32"/>
          <w:u w:val="none"/>
        </w:rPr>
        <w:t>，形成活性成分筛选-靶点预测-机制解析-成药性评价一体化创新药物发现研究范式，阐明药物与急性肺损伤靶点的分子互作机制。</w:t>
      </w:r>
    </w:p>
    <w:p w14:paraId="1941B780">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b/>
          <w:bCs/>
          <w:sz w:val="32"/>
          <w:szCs w:val="32"/>
          <w:u w:val="none"/>
        </w:rPr>
        <w:t>1</w:t>
      </w:r>
      <w:r>
        <w:rPr>
          <w:rFonts w:hint="default" w:ascii="Times New Roman" w:hAnsi="Times New Roman" w:eastAsia="仿宋_GB2312" w:cs="Times New Roman"/>
          <w:b/>
          <w:bCs/>
          <w:sz w:val="32"/>
          <w:szCs w:val="32"/>
          <w:u w:val="none"/>
          <w:lang w:val="en-US" w:eastAsia="zh-CN"/>
        </w:rPr>
        <w:t>3</w:t>
      </w:r>
      <w:r>
        <w:rPr>
          <w:rFonts w:hint="default" w:ascii="Times New Roman" w:hAnsi="Times New Roman" w:eastAsia="仿宋_GB2312" w:cs="Times New Roman"/>
          <w:b/>
          <w:bCs/>
          <w:sz w:val="32"/>
          <w:szCs w:val="32"/>
          <w:u w:val="none"/>
        </w:rPr>
        <w:t>．新型镁合金克氏针可控吸收性能研究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451FBF96">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针对传统金属克氏针模量与骨骼不匹配导致应力</w:t>
      </w:r>
      <w:r>
        <w:rPr>
          <w:rFonts w:hint="default" w:ascii="Times New Roman" w:hAnsi="Times New Roman" w:eastAsia="仿宋_GB2312" w:cs="Times New Roman"/>
          <w:sz w:val="32"/>
          <w:szCs w:val="32"/>
          <w:u w:val="none"/>
          <w:lang w:val="en-US" w:eastAsia="zh-CN"/>
        </w:rPr>
        <w:t>遮挡</w:t>
      </w:r>
      <w:r>
        <w:rPr>
          <w:rFonts w:hint="default" w:ascii="Times New Roman" w:hAnsi="Times New Roman" w:eastAsia="仿宋_GB2312" w:cs="Times New Roman"/>
          <w:sz w:val="32"/>
          <w:szCs w:val="32"/>
          <w:u w:val="none"/>
        </w:rPr>
        <w:t>和非生物降解的问题，</w:t>
      </w:r>
      <w:bookmarkStart w:id="0" w:name="_Hlk177829008"/>
      <w:r>
        <w:rPr>
          <w:rFonts w:hint="default" w:ascii="Times New Roman" w:hAnsi="Times New Roman" w:eastAsia="仿宋_GB2312" w:cs="Times New Roman"/>
          <w:sz w:val="32"/>
          <w:szCs w:val="32"/>
          <w:u w:val="none"/>
        </w:rPr>
        <w:t>开发可控降解的可吸收镁合金克氏针</w:t>
      </w:r>
      <w:bookmarkStart w:id="1" w:name="_Hlk177809083"/>
      <w:r>
        <w:rPr>
          <w:rFonts w:hint="default" w:ascii="Times New Roman" w:hAnsi="Times New Roman" w:eastAsia="仿宋_GB2312" w:cs="Times New Roman"/>
          <w:sz w:val="32"/>
          <w:szCs w:val="32"/>
          <w:u w:val="none"/>
        </w:rPr>
        <w:t>，研究其排异防控机制及其与愈合动态生物力学匹配机制</w:t>
      </w:r>
      <w:bookmarkEnd w:id="0"/>
      <w:bookmarkEnd w:id="1"/>
      <w:r>
        <w:rPr>
          <w:rFonts w:hint="default" w:ascii="Times New Roman" w:hAnsi="Times New Roman" w:eastAsia="仿宋_GB2312" w:cs="Times New Roman"/>
          <w:sz w:val="32"/>
          <w:szCs w:val="32"/>
          <w:u w:val="none"/>
        </w:rPr>
        <w:t>。</w:t>
      </w:r>
    </w:p>
    <w:p w14:paraId="75E65163">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1</w:t>
      </w:r>
      <w:r>
        <w:rPr>
          <w:rFonts w:hint="default" w:ascii="Times New Roman" w:hAnsi="Times New Roman" w:eastAsia="仿宋_GB2312" w:cs="Times New Roman"/>
          <w:b/>
          <w:bCs/>
          <w:sz w:val="32"/>
          <w:szCs w:val="32"/>
          <w:u w:val="none"/>
          <w:lang w:val="en-US" w:eastAsia="zh-CN"/>
        </w:rPr>
        <w:t>4</w:t>
      </w:r>
      <w:r>
        <w:rPr>
          <w:rFonts w:hint="default" w:ascii="Times New Roman" w:hAnsi="Times New Roman" w:eastAsia="仿宋_GB2312" w:cs="Times New Roman"/>
          <w:b/>
          <w:bCs/>
          <w:sz w:val="32"/>
          <w:szCs w:val="32"/>
          <w:u w:val="none"/>
        </w:rPr>
        <w:t>．中药质量均化关键技术效用机制研究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71847B3B">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围绕成分协同作用、工艺参数耦合规律，解析中药质量均化关键技术的核心科学机理，采用多指标成分定量、指纹图谱、主要药效及药代动力学等综合评价方法，系统对比均化工艺实施前后中药质量差异，并结合体内外研究对该技术的效用机制开展多层次验证。</w:t>
      </w:r>
    </w:p>
    <w:p w14:paraId="47BFD1E7">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15</w:t>
      </w:r>
      <w:r>
        <w:rPr>
          <w:rFonts w:hint="default" w:ascii="Times New Roman" w:hAnsi="Times New Roman" w:eastAsia="仿宋_GB2312" w:cs="Times New Roman"/>
          <w:b/>
          <w:bCs/>
          <w:sz w:val="32"/>
          <w:szCs w:val="32"/>
          <w:u w:val="none"/>
        </w:rPr>
        <w:t>．钩吻生物碱低温定向富集与产业化关键技术研发</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4D022909">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针对钩吻生物碱含量低、难提取的产业难题，开展钩吻种质筛选研究，采用低温胁迫诱导技术促进其内源性积累，研究其调控机制，并结合多组学技术挖掘关键合成酶，为定向增产提供靶点。</w:t>
      </w:r>
    </w:p>
    <w:p w14:paraId="44700622">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val="en-US" w:eastAsia="zh-CN"/>
        </w:rPr>
        <w:t>（四）</w:t>
      </w:r>
      <w:r>
        <w:rPr>
          <w:rFonts w:hint="default" w:ascii="Times New Roman" w:hAnsi="Times New Roman" w:eastAsia="楷体_GB2312" w:cs="Times New Roman"/>
          <w:b/>
          <w:bCs/>
          <w:sz w:val="32"/>
          <w:szCs w:val="32"/>
          <w:u w:val="none"/>
        </w:rPr>
        <w:t>新能源及汽车领域</w:t>
      </w:r>
    </w:p>
    <w:p w14:paraId="16B85368">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1</w:t>
      </w:r>
      <w:r>
        <w:rPr>
          <w:rFonts w:hint="default" w:ascii="Times New Roman" w:hAnsi="Times New Roman" w:eastAsia="仿宋_GB2312" w:cs="Times New Roman"/>
          <w:b/>
          <w:bCs/>
          <w:sz w:val="32"/>
          <w:szCs w:val="32"/>
          <w:u w:val="none"/>
        </w:rPr>
        <w:t>．燃料电池关键材料与智能控制策略创新研究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7BC00553">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针对燃料电池在低温环境下启动困难及内部水热平衡难以协调的问题，开展燃料电池系统多目标协同优化与智能控制策略的应用基础研究。</w:t>
      </w:r>
    </w:p>
    <w:p w14:paraId="795857A9">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2</w:t>
      </w:r>
      <w:r>
        <w:rPr>
          <w:rFonts w:hint="default" w:ascii="Times New Roman" w:hAnsi="Times New Roman" w:eastAsia="仿宋_GB2312" w:cs="Times New Roman"/>
          <w:b/>
          <w:bCs/>
          <w:sz w:val="32"/>
          <w:szCs w:val="32"/>
          <w:u w:val="none"/>
        </w:rPr>
        <w:t>．发动机高效清洁燃烧相关理论与技术创新研究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39BBD1A5">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双燃料发动机宽工况燃烧失稳与机理不明问题，开展双燃料燃烧反应机理、高精度模型及稳定性控制的基础应用研究；针对氨燃料发动机起燃困难与燃烧不稳定问题，开展新型助燃技术、解氢机理及火焰传播机制研究。</w:t>
      </w:r>
    </w:p>
    <w:p w14:paraId="5C61BCBE">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3</w:t>
      </w:r>
      <w:r>
        <w:rPr>
          <w:rFonts w:hint="default" w:ascii="Times New Roman" w:hAnsi="Times New Roman" w:eastAsia="仿宋_GB2312" w:cs="Times New Roman"/>
          <w:b/>
          <w:bCs/>
          <w:sz w:val="32"/>
          <w:szCs w:val="32"/>
          <w:u w:val="none"/>
        </w:rPr>
        <w:t>．复杂工况下</w:t>
      </w:r>
      <w:r>
        <w:rPr>
          <w:rFonts w:hint="default" w:ascii="Times New Roman" w:hAnsi="Times New Roman" w:eastAsia="仿宋_GB2312" w:cs="Times New Roman"/>
          <w:b/>
          <w:bCs/>
          <w:sz w:val="32"/>
          <w:szCs w:val="32"/>
          <w:u w:val="none"/>
          <w:lang w:val="en-US" w:eastAsia="zh-CN"/>
        </w:rPr>
        <w:t>机器人</w:t>
      </w:r>
      <w:r>
        <w:rPr>
          <w:rFonts w:hint="default" w:ascii="Times New Roman" w:hAnsi="Times New Roman" w:eastAsia="仿宋_GB2312" w:cs="Times New Roman"/>
          <w:b/>
          <w:bCs/>
          <w:sz w:val="32"/>
          <w:szCs w:val="32"/>
          <w:u w:val="none"/>
        </w:rPr>
        <w:t>仿生设计与智能协同控制研究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6249A84C">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机器人与智能制造行业高自由度拟人化结构设计、精密力控与感知融合算法等问题，开展轻量化结构设计、多模态传感信息与人体运动机理研究；针对智能露天矿山机械的复杂工作条件，开展矿山机械自主行走-钻孔作业等精准控制、复杂环境适配和远程控制作业等问题。</w:t>
      </w:r>
    </w:p>
    <w:p w14:paraId="3344DC64">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4</w:t>
      </w:r>
      <w:r>
        <w:rPr>
          <w:rFonts w:hint="default" w:ascii="Times New Roman" w:hAnsi="Times New Roman" w:eastAsia="仿宋_GB2312" w:cs="Times New Roman"/>
          <w:b/>
          <w:bCs/>
          <w:sz w:val="32"/>
          <w:szCs w:val="32"/>
          <w:u w:val="none"/>
        </w:rPr>
        <w:t>．高空电力作业机器人关键装备</w:t>
      </w:r>
      <w:r>
        <w:rPr>
          <w:rFonts w:hint="default" w:ascii="Times New Roman" w:hAnsi="Times New Roman" w:eastAsia="仿宋_GB2312" w:cs="Times New Roman"/>
          <w:b/>
          <w:bCs/>
          <w:sz w:val="32"/>
          <w:szCs w:val="32"/>
          <w:u w:val="none"/>
          <w:lang w:val="en-US" w:eastAsia="zh-CN"/>
        </w:rPr>
        <w:t>的传感技术</w:t>
      </w:r>
      <w:r>
        <w:rPr>
          <w:rFonts w:hint="default" w:ascii="Times New Roman" w:hAnsi="Times New Roman" w:eastAsia="仿宋_GB2312" w:cs="Times New Roman"/>
          <w:b/>
          <w:bCs/>
          <w:sz w:val="32"/>
          <w:szCs w:val="32"/>
          <w:u w:val="none"/>
        </w:rPr>
        <w:t>与协同控制研究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149186F9">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高空输电线自主作业机器人在干扰环境下的作业难题，开展多传感器融合精准导航研究；针对高空作业机器人的复杂载荷下模块协同、动态场景的自适应决策机制问题，开展在高空环境下的人机交互智能模块化机器人协同控制方法研究；针对高压输电线路电力施工场景的立杆、杆塔智能作业问题，开展立杆高效化作业一体化智能装备、杆塔组立自适应多传感器信息融合关键技术研究。</w:t>
      </w:r>
    </w:p>
    <w:p w14:paraId="1CC82590">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5</w:t>
      </w:r>
      <w:r>
        <w:rPr>
          <w:rFonts w:hint="default" w:ascii="Times New Roman" w:hAnsi="Times New Roman" w:eastAsia="仿宋_GB2312" w:cs="Times New Roman"/>
          <w:b/>
          <w:bCs/>
          <w:sz w:val="32"/>
          <w:szCs w:val="32"/>
          <w:u w:val="none"/>
        </w:rPr>
        <w:t>．环境适应性无人机技术研究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659D3FC5">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针对无人机系统向多功能集成、跨域作业等问题，开展面向复杂连续任务链的智能机载模块与飞行平台结构的无人机研究；针对传统电动无人机续航短的问题，开展新型燃料电池设计无人机动力系统研究。</w:t>
      </w:r>
    </w:p>
    <w:p w14:paraId="50E1611A">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6</w:t>
      </w:r>
      <w:r>
        <w:rPr>
          <w:rFonts w:hint="default" w:ascii="Times New Roman" w:hAnsi="Times New Roman" w:eastAsia="仿宋_GB2312" w:cs="Times New Roman"/>
          <w:b/>
          <w:bCs/>
          <w:sz w:val="32"/>
          <w:szCs w:val="32"/>
          <w:u w:val="none"/>
        </w:rPr>
        <w:t>．汽车轻量化材料</w:t>
      </w:r>
      <w:r>
        <w:rPr>
          <w:rFonts w:hint="default" w:ascii="Times New Roman" w:hAnsi="Times New Roman" w:eastAsia="仿宋_GB2312" w:cs="Times New Roman"/>
          <w:b/>
          <w:bCs/>
          <w:sz w:val="32"/>
          <w:szCs w:val="32"/>
          <w:u w:val="none"/>
          <w:lang w:val="en-US" w:eastAsia="zh-CN"/>
        </w:rPr>
        <w:t>可靠</w:t>
      </w:r>
      <w:r>
        <w:rPr>
          <w:rFonts w:hint="default" w:ascii="Times New Roman" w:hAnsi="Times New Roman" w:eastAsia="仿宋_GB2312" w:cs="Times New Roman"/>
          <w:b/>
          <w:bCs/>
          <w:sz w:val="32"/>
          <w:szCs w:val="32"/>
          <w:u w:val="none"/>
        </w:rPr>
        <w:t>连接技术研究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7A674AD0">
      <w:pPr>
        <w:keepNext w:val="0"/>
        <w:keepLines w:val="0"/>
        <w:pageBreakBefore w:val="0"/>
        <w:widowControl w:val="0"/>
        <w:kinsoku/>
        <w:overflowPunct/>
        <w:topLinePunct w:val="0"/>
        <w:bidi w:val="0"/>
        <w:spacing w:line="600" w:lineRule="exact"/>
        <w:ind w:firstLine="624" w:firstLineChars="200"/>
        <w:rPr>
          <w:rFonts w:hint="default" w:ascii="Times New Roman" w:hAnsi="Times New Roman" w:eastAsia="仿宋_GB2312" w:cs="Times New Roman"/>
          <w:spacing w:val="-4"/>
          <w:sz w:val="32"/>
          <w:szCs w:val="32"/>
          <w:u w:val="none"/>
        </w:rPr>
      </w:pPr>
      <w:r>
        <w:rPr>
          <w:rFonts w:hint="default" w:ascii="Times New Roman" w:hAnsi="Times New Roman" w:eastAsia="仿宋_GB2312" w:cs="Times New Roman"/>
          <w:spacing w:val="-4"/>
          <w:sz w:val="32"/>
          <w:szCs w:val="32"/>
          <w:u w:val="none"/>
        </w:rPr>
        <w:t>针对新能源汽车及高端装备制造领域普遍存在的宽温域服役环境与复杂载荷耦合下车体</w:t>
      </w:r>
      <w:r>
        <w:rPr>
          <w:rFonts w:hint="default" w:ascii="Times New Roman" w:hAnsi="Times New Roman" w:eastAsia="仿宋_GB2312" w:cs="Times New Roman"/>
          <w:spacing w:val="-4"/>
          <w:sz w:val="32"/>
          <w:szCs w:val="32"/>
          <w:u w:val="none"/>
          <w:lang w:val="en-US" w:eastAsia="zh-CN"/>
        </w:rPr>
        <w:t>不同</w:t>
      </w:r>
      <w:r>
        <w:rPr>
          <w:rFonts w:hint="default" w:ascii="Times New Roman" w:hAnsi="Times New Roman" w:eastAsia="仿宋_GB2312" w:cs="Times New Roman"/>
          <w:spacing w:val="-4"/>
          <w:sz w:val="32"/>
          <w:szCs w:val="32"/>
          <w:u w:val="none"/>
        </w:rPr>
        <w:t>材料复合连接可靠性问题，开展复杂工况下高强度钢和铝合金板材连接</w:t>
      </w:r>
      <w:r>
        <w:rPr>
          <w:rFonts w:hint="default" w:ascii="Times New Roman" w:hAnsi="Times New Roman" w:eastAsia="仿宋_GB2312" w:cs="Times New Roman"/>
          <w:spacing w:val="-4"/>
          <w:sz w:val="32"/>
          <w:szCs w:val="32"/>
          <w:u w:val="none"/>
          <w:lang w:val="en-US" w:eastAsia="zh-CN"/>
        </w:rPr>
        <w:t>可靠的</w:t>
      </w:r>
      <w:r>
        <w:rPr>
          <w:rFonts w:hint="default" w:ascii="Times New Roman" w:hAnsi="Times New Roman" w:eastAsia="仿宋_GB2312" w:cs="Times New Roman"/>
          <w:spacing w:val="-4"/>
          <w:sz w:val="32"/>
          <w:szCs w:val="32"/>
          <w:u w:val="none"/>
        </w:rPr>
        <w:t>关键技术研究。</w:t>
      </w:r>
    </w:p>
    <w:p w14:paraId="5628CF56">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7</w:t>
      </w:r>
      <w:r>
        <w:rPr>
          <w:rFonts w:hint="default" w:ascii="Times New Roman" w:hAnsi="Times New Roman" w:eastAsia="仿宋_GB2312" w:cs="Times New Roman"/>
          <w:b/>
          <w:bCs/>
          <w:sz w:val="32"/>
          <w:szCs w:val="32"/>
          <w:u w:val="none"/>
        </w:rPr>
        <w:t>．煤电低碳化发展</w:t>
      </w:r>
      <w:r>
        <w:rPr>
          <w:rFonts w:hint="default" w:ascii="Times New Roman" w:hAnsi="Times New Roman" w:eastAsia="仿宋_GB2312" w:cs="Times New Roman"/>
          <w:b/>
          <w:bCs/>
          <w:sz w:val="32"/>
          <w:szCs w:val="32"/>
          <w:u w:val="none"/>
          <w:lang w:val="en-US" w:eastAsia="zh-CN"/>
        </w:rPr>
        <w:t>的</w:t>
      </w:r>
      <w:r>
        <w:rPr>
          <w:rFonts w:hint="default" w:ascii="Times New Roman" w:hAnsi="Times New Roman" w:eastAsia="仿宋_GB2312" w:cs="Times New Roman"/>
          <w:b/>
          <w:bCs/>
          <w:sz w:val="32"/>
          <w:szCs w:val="32"/>
          <w:u w:val="none"/>
        </w:rPr>
        <w:t>关键技术研究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40840CDB">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针对煤电低碳化发展中生物质气化机理及其与燃煤系统耦合特性不清等关键科学问题，开展生物质气化过程调控、耦合燃烧污染物控制及系统集成优化的应用基础研究。</w:t>
      </w:r>
    </w:p>
    <w:p w14:paraId="222B13C5">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黑体" w:cs="Times New Roman"/>
          <w:sz w:val="32"/>
          <w:szCs w:val="32"/>
          <w:u w:val="none"/>
          <w:lang w:val="en-US" w:eastAsia="zh-CN"/>
        </w:rPr>
      </w:pPr>
      <w:r>
        <w:rPr>
          <w:rFonts w:hint="default" w:ascii="Times New Roman" w:hAnsi="Times New Roman" w:eastAsia="楷体_GB2312" w:cs="Times New Roman"/>
          <w:b/>
          <w:bCs/>
          <w:sz w:val="32"/>
          <w:szCs w:val="32"/>
          <w:u w:val="none"/>
          <w:lang w:val="en-US" w:eastAsia="zh-CN"/>
        </w:rPr>
        <w:t>（五）航空及装备</w:t>
      </w:r>
    </w:p>
    <w:p w14:paraId="37B33CF0">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1．多源复杂环境数据智能感知机理及其评估理论</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1F79348C">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面向低空经济中巡检、城市暴雨内涝、森林碳汇等典型应用场景，聚焦天、空、地等多源异构数据智能感知与评估的核心科学问题，开展多域协同感知机理</w:t>
      </w:r>
      <w:r>
        <w:rPr>
          <w:rFonts w:hint="default" w:ascii="Times New Roman" w:hAnsi="Times New Roman" w:eastAsia="仿宋_GB2312" w:cs="Times New Roman"/>
          <w:sz w:val="32"/>
          <w:szCs w:val="32"/>
          <w:u w:val="none"/>
          <w:lang w:val="en-US" w:eastAsia="zh-CN"/>
        </w:rPr>
        <w:t>与方法</w:t>
      </w:r>
      <w:r>
        <w:rPr>
          <w:rFonts w:hint="default" w:ascii="Times New Roman" w:hAnsi="Times New Roman" w:eastAsia="仿宋_GB2312" w:cs="Times New Roman"/>
          <w:sz w:val="32"/>
          <w:szCs w:val="32"/>
          <w:u w:val="none"/>
        </w:rPr>
        <w:t>、多源异构数据融合理论研究，构建</w:t>
      </w:r>
      <w:r>
        <w:rPr>
          <w:rFonts w:hint="default" w:ascii="Times New Roman" w:hAnsi="Times New Roman" w:eastAsia="仿宋_GB2312" w:cs="Times New Roman"/>
          <w:sz w:val="32"/>
          <w:szCs w:val="32"/>
          <w:u w:val="none"/>
          <w:lang w:val="en-US" w:eastAsia="zh-CN"/>
        </w:rPr>
        <w:t>面向低空经济多源数据融合的传输与</w:t>
      </w:r>
      <w:r>
        <w:rPr>
          <w:rFonts w:hint="default" w:ascii="Times New Roman" w:hAnsi="Times New Roman" w:eastAsia="仿宋_GB2312" w:cs="Times New Roman"/>
          <w:sz w:val="32"/>
          <w:szCs w:val="32"/>
          <w:u w:val="none"/>
        </w:rPr>
        <w:t>智能评估理论与模型，形成支撑巡检智能决策、内涝动态风险预测、碳汇精准评估等关键技术研发的基础理论与方法体系。</w:t>
      </w:r>
    </w:p>
    <w:p w14:paraId="29B49C60">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2</w:t>
      </w:r>
      <w:r>
        <w:rPr>
          <w:rFonts w:hint="default" w:ascii="Times New Roman" w:hAnsi="Times New Roman" w:eastAsia="仿宋_GB2312" w:cs="Times New Roman"/>
          <w:b/>
          <w:bCs/>
          <w:sz w:val="32"/>
          <w:szCs w:val="32"/>
          <w:u w:val="none"/>
        </w:rPr>
        <w:t>．新场景新动力驱动下分布式电推进/气动耦合效应机理研究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0F12B25B">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针对区域空中交通场景的低噪声、垂直/超短距起降等典型</w:t>
      </w:r>
      <w:r>
        <w:rPr>
          <w:rFonts w:hint="default" w:ascii="Times New Roman" w:hAnsi="Times New Roman" w:eastAsia="仿宋_GB2312" w:cs="Times New Roman"/>
          <w:sz w:val="32"/>
          <w:szCs w:val="32"/>
          <w:u w:val="none"/>
          <w:lang w:val="en-US" w:eastAsia="zh-CN"/>
        </w:rPr>
        <w:t>场景对驱动力</w:t>
      </w:r>
      <w:r>
        <w:rPr>
          <w:rFonts w:hint="default" w:ascii="Times New Roman" w:hAnsi="Times New Roman" w:eastAsia="仿宋_GB2312" w:cs="Times New Roman"/>
          <w:sz w:val="32"/>
          <w:szCs w:val="32"/>
          <w:u w:val="none"/>
        </w:rPr>
        <w:t>需求，探索分布式电推进与气动布局高效耦合的机理，揭示动力、气动、操稳、主被动控制相互作用</w:t>
      </w:r>
      <w:r>
        <w:rPr>
          <w:rFonts w:hint="default" w:ascii="Times New Roman" w:hAnsi="Times New Roman" w:eastAsia="仿宋_GB2312" w:cs="Times New Roman"/>
          <w:sz w:val="32"/>
          <w:szCs w:val="32"/>
          <w:u w:val="none"/>
          <w:lang w:val="en-US" w:eastAsia="zh-CN"/>
        </w:rPr>
        <w:t>规律</w:t>
      </w:r>
      <w:r>
        <w:rPr>
          <w:rFonts w:hint="default" w:ascii="Times New Roman" w:hAnsi="Times New Roman" w:eastAsia="仿宋_GB2312" w:cs="Times New Roman"/>
          <w:sz w:val="32"/>
          <w:szCs w:val="32"/>
          <w:u w:val="none"/>
        </w:rPr>
        <w:t>，开展高升力起降与高效巡航气动、低噪声气动、地面及水面气动效应</w:t>
      </w:r>
      <w:r>
        <w:rPr>
          <w:rFonts w:hint="default" w:ascii="Times New Roman" w:hAnsi="Times New Roman" w:eastAsia="仿宋_GB2312" w:cs="Times New Roman"/>
          <w:sz w:val="32"/>
          <w:szCs w:val="32"/>
          <w:u w:val="none"/>
          <w:lang w:val="en-US" w:eastAsia="zh-CN"/>
        </w:rPr>
        <w:t>耦合机制研究</w:t>
      </w:r>
      <w:r>
        <w:rPr>
          <w:rFonts w:hint="default" w:ascii="Times New Roman" w:hAnsi="Times New Roman" w:eastAsia="仿宋_GB2312" w:cs="Times New Roman"/>
          <w:sz w:val="32"/>
          <w:szCs w:val="32"/>
          <w:u w:val="none"/>
        </w:rPr>
        <w:t>、突破</w:t>
      </w:r>
      <w:r>
        <w:rPr>
          <w:rFonts w:hint="default" w:ascii="Times New Roman" w:hAnsi="Times New Roman" w:eastAsia="仿宋_GB2312" w:cs="Times New Roman"/>
          <w:sz w:val="32"/>
          <w:szCs w:val="32"/>
          <w:u w:val="none"/>
          <w:lang w:val="en-US" w:eastAsia="zh-CN"/>
        </w:rPr>
        <w:t>分布式电推进/气动耦合的</w:t>
      </w:r>
      <w:r>
        <w:rPr>
          <w:rFonts w:hint="default" w:ascii="Times New Roman" w:hAnsi="Times New Roman" w:eastAsia="仿宋_GB2312" w:cs="Times New Roman"/>
          <w:sz w:val="32"/>
          <w:szCs w:val="32"/>
          <w:u w:val="none"/>
        </w:rPr>
        <w:t>共性科学问题，研究航空装备新构型新布局可信度、可行性，构建创新型</w:t>
      </w:r>
      <w:r>
        <w:rPr>
          <w:rFonts w:hint="default" w:ascii="Times New Roman" w:hAnsi="Times New Roman" w:eastAsia="仿宋_GB2312" w:cs="Times New Roman"/>
          <w:sz w:val="32"/>
          <w:szCs w:val="32"/>
          <w:u w:val="none"/>
          <w:lang w:val="en-US" w:eastAsia="zh-CN"/>
        </w:rPr>
        <w:t>电推进</w:t>
      </w:r>
      <w:r>
        <w:rPr>
          <w:rFonts w:hint="default" w:ascii="Times New Roman" w:hAnsi="Times New Roman" w:eastAsia="仿宋_GB2312" w:cs="Times New Roman"/>
          <w:sz w:val="32"/>
          <w:szCs w:val="32"/>
          <w:u w:val="none"/>
        </w:rPr>
        <w:t>航空器</w:t>
      </w:r>
      <w:r>
        <w:rPr>
          <w:rFonts w:hint="default" w:ascii="Times New Roman" w:hAnsi="Times New Roman" w:eastAsia="仿宋_GB2312" w:cs="Times New Roman"/>
          <w:sz w:val="32"/>
          <w:szCs w:val="32"/>
          <w:u w:val="none"/>
          <w:lang w:val="en-US" w:eastAsia="zh-CN"/>
        </w:rPr>
        <w:t>的</w:t>
      </w:r>
      <w:r>
        <w:rPr>
          <w:rFonts w:hint="default" w:ascii="Times New Roman" w:hAnsi="Times New Roman" w:eastAsia="仿宋_GB2312" w:cs="Times New Roman"/>
          <w:sz w:val="32"/>
          <w:szCs w:val="32"/>
          <w:u w:val="none"/>
        </w:rPr>
        <w:t>工程应用基础。</w:t>
      </w:r>
    </w:p>
    <w:p w14:paraId="33400510">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3</w:t>
      </w:r>
      <w:r>
        <w:rPr>
          <w:rFonts w:hint="default" w:ascii="Times New Roman" w:hAnsi="Times New Roman" w:eastAsia="仿宋_GB2312" w:cs="Times New Roman"/>
          <w:b/>
          <w:bCs/>
          <w:sz w:val="32"/>
          <w:szCs w:val="32"/>
          <w:u w:val="none"/>
        </w:rPr>
        <w:t>．低空飞行器机载压缩机“密封-磨损-热场-两相流”强耦合机理研究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1E72BBD7">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低空飞行器热管理系统对压缩机的高功率密度、快变姿态适应性、宽环境温度、环境振动交变的需求，结合三角转子等新型压缩机具有理论高功率密度，开展“密封‑磨损‑热场‑两相流”强耦合机理研究，研究姿态快变化下气液两相流迁移机理、动态密封接触动力学及</w:t>
      </w:r>
      <w:r>
        <w:rPr>
          <w:rFonts w:hint="default" w:ascii="Times New Roman" w:hAnsi="Times New Roman" w:eastAsia="仿宋_GB2312" w:cs="Times New Roman"/>
          <w:sz w:val="32"/>
          <w:szCs w:val="32"/>
          <w:u w:val="none"/>
          <w:lang w:val="en-US" w:eastAsia="zh-CN"/>
        </w:rPr>
        <w:t>磨损</w:t>
      </w:r>
      <w:r>
        <w:rPr>
          <w:rFonts w:hint="default" w:ascii="Times New Roman" w:hAnsi="Times New Roman" w:eastAsia="仿宋_GB2312" w:cs="Times New Roman"/>
          <w:sz w:val="32"/>
          <w:szCs w:val="32"/>
          <w:u w:val="none"/>
        </w:rPr>
        <w:t>失效机制、动态密封等方面基础机理</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建立</w:t>
      </w:r>
      <w:r>
        <w:rPr>
          <w:rFonts w:hint="default" w:ascii="Times New Roman" w:hAnsi="Times New Roman" w:eastAsia="仿宋_GB2312" w:cs="Times New Roman"/>
          <w:sz w:val="32"/>
          <w:szCs w:val="32"/>
          <w:u w:val="none"/>
        </w:rPr>
        <w:t>可验证模型，突破共性科学问题，构建创新型</w:t>
      </w:r>
      <w:r>
        <w:rPr>
          <w:rFonts w:hint="default" w:ascii="Times New Roman" w:hAnsi="Times New Roman" w:eastAsia="仿宋_GB2312" w:cs="Times New Roman"/>
          <w:sz w:val="32"/>
          <w:szCs w:val="32"/>
          <w:u w:val="none"/>
          <w:lang w:val="en-US" w:eastAsia="zh-CN"/>
        </w:rPr>
        <w:t>低空飞行器机载</w:t>
      </w:r>
      <w:r>
        <w:rPr>
          <w:rFonts w:hint="default" w:ascii="Times New Roman" w:hAnsi="Times New Roman" w:eastAsia="仿宋_GB2312" w:cs="Times New Roman"/>
          <w:sz w:val="32"/>
          <w:szCs w:val="32"/>
          <w:u w:val="none"/>
        </w:rPr>
        <w:t>压缩机工程应用基础。</w:t>
      </w:r>
    </w:p>
    <w:p w14:paraId="4972B0F4">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4</w:t>
      </w:r>
      <w:r>
        <w:rPr>
          <w:rFonts w:hint="default" w:ascii="Times New Roman" w:hAnsi="Times New Roman" w:eastAsia="仿宋_GB2312" w:cs="Times New Roman"/>
          <w:b/>
          <w:bCs/>
          <w:sz w:val="32"/>
          <w:szCs w:val="32"/>
          <w:u w:val="none"/>
        </w:rPr>
        <w:t>．航空</w:t>
      </w:r>
      <w:r>
        <w:rPr>
          <w:rFonts w:hint="default" w:ascii="Times New Roman" w:hAnsi="Times New Roman" w:eastAsia="仿宋_GB2312" w:cs="Times New Roman"/>
          <w:b/>
          <w:bCs/>
          <w:sz w:val="32"/>
          <w:szCs w:val="32"/>
          <w:u w:val="none"/>
          <w:lang w:val="en-US" w:eastAsia="zh-CN"/>
        </w:rPr>
        <w:t>关键部件</w:t>
      </w:r>
      <w:r>
        <w:rPr>
          <w:rFonts w:hint="default" w:ascii="Times New Roman" w:hAnsi="Times New Roman" w:eastAsia="仿宋_GB2312" w:cs="Times New Roman"/>
          <w:b/>
          <w:bCs/>
          <w:sz w:val="32"/>
          <w:szCs w:val="32"/>
          <w:u w:val="none"/>
        </w:rPr>
        <w:t>“设计-工艺-制造”集成驱动的</w:t>
      </w:r>
      <w:r>
        <w:rPr>
          <w:rFonts w:hint="default" w:ascii="Times New Roman" w:hAnsi="Times New Roman" w:eastAsia="仿宋_GB2312" w:cs="Times New Roman"/>
          <w:b/>
          <w:bCs/>
          <w:sz w:val="32"/>
          <w:szCs w:val="32"/>
          <w:u w:val="none"/>
          <w:lang w:val="en-US" w:eastAsia="zh-CN"/>
        </w:rPr>
        <w:t>增材</w:t>
      </w:r>
      <w:r>
        <w:rPr>
          <w:rFonts w:hint="default" w:ascii="Times New Roman" w:hAnsi="Times New Roman" w:eastAsia="仿宋_GB2312" w:cs="Times New Roman"/>
          <w:b/>
          <w:bCs/>
          <w:sz w:val="32"/>
          <w:szCs w:val="32"/>
          <w:u w:val="none"/>
        </w:rPr>
        <w:t>智能制造方法</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13E82C5D">
      <w:pPr>
        <w:pStyle w:val="4"/>
        <w:keepNext w:val="0"/>
        <w:keepLines w:val="0"/>
        <w:pageBreakBefore w:val="0"/>
        <w:widowControl w:val="0"/>
        <w:kinsoku/>
        <w:overflowPunct/>
        <w:topLinePunct w:val="0"/>
        <w:bidi w:val="0"/>
        <w:spacing w:after="0" w:line="600" w:lineRule="exact"/>
        <w:ind w:left="0" w:leftChars="0" w:firstLine="640"/>
        <w:rPr>
          <w:rFonts w:hint="default" w:ascii="Times New Roman" w:hAnsi="Times New Roman" w:eastAsia="黑体" w:cs="Times New Roman"/>
          <w:sz w:val="32"/>
          <w:szCs w:val="32"/>
          <w:u w:val="none"/>
          <w:lang w:val="en-US" w:eastAsia="zh-CN"/>
        </w:rPr>
      </w:pPr>
      <w:r>
        <w:rPr>
          <w:rFonts w:hint="default" w:ascii="Times New Roman" w:hAnsi="Times New Roman" w:eastAsia="仿宋_GB2312" w:cs="Times New Roman"/>
          <w:sz w:val="32"/>
          <w:szCs w:val="32"/>
          <w:u w:val="none"/>
        </w:rPr>
        <w:t>围绕航空装备加工与装配高工艺一致性、动态自适应的需求，研究复合材料/高强金属构件从设计模型向工艺指令的语义映射、知识自主演化与自适应路径规划机制，探索面向</w:t>
      </w:r>
      <w:r>
        <w:rPr>
          <w:rFonts w:hint="default" w:ascii="Times New Roman" w:hAnsi="Times New Roman" w:eastAsia="仿宋_GB2312" w:cs="Times New Roman"/>
          <w:sz w:val="32"/>
          <w:szCs w:val="32"/>
          <w:u w:val="none"/>
          <w:lang w:val="en-US" w:eastAsia="zh-CN"/>
        </w:rPr>
        <w:t>XR+航空</w:t>
      </w:r>
      <w:r>
        <w:rPr>
          <w:rFonts w:hint="default" w:ascii="Times New Roman" w:hAnsi="Times New Roman" w:eastAsia="仿宋_GB2312" w:cs="Times New Roman"/>
          <w:sz w:val="32"/>
          <w:szCs w:val="32"/>
          <w:u w:val="none"/>
        </w:rPr>
        <w:t>关键部件复杂内腔“结构-功能-工艺”一体化</w:t>
      </w:r>
      <w:r>
        <w:rPr>
          <w:rFonts w:hint="default" w:ascii="Times New Roman" w:hAnsi="Times New Roman" w:eastAsia="仿宋_GB2312" w:cs="Times New Roman"/>
          <w:sz w:val="32"/>
          <w:szCs w:val="32"/>
          <w:u w:val="none"/>
          <w:lang w:val="en-US" w:eastAsia="zh-CN"/>
        </w:rPr>
        <w:t>增材制造需求</w:t>
      </w:r>
      <w:r>
        <w:rPr>
          <w:rFonts w:hint="default" w:ascii="Times New Roman" w:hAnsi="Times New Roman" w:eastAsia="仿宋_GB2312" w:cs="Times New Roman"/>
          <w:sz w:val="32"/>
          <w:szCs w:val="32"/>
          <w:u w:val="none"/>
        </w:rPr>
        <w:t>，开展飞机部件</w:t>
      </w:r>
      <w:r>
        <w:rPr>
          <w:rFonts w:hint="default" w:ascii="Times New Roman" w:hAnsi="Times New Roman" w:eastAsia="仿宋_GB2312" w:cs="Times New Roman"/>
          <w:sz w:val="32"/>
          <w:szCs w:val="32"/>
          <w:u w:val="none"/>
          <w:lang w:val="en-US" w:eastAsia="zh-CN"/>
        </w:rPr>
        <w:t>制造</w:t>
      </w:r>
      <w:r>
        <w:rPr>
          <w:rFonts w:hint="default" w:ascii="Times New Roman" w:hAnsi="Times New Roman" w:eastAsia="仿宋_GB2312" w:cs="Times New Roman"/>
          <w:sz w:val="32"/>
          <w:szCs w:val="32"/>
          <w:u w:val="none"/>
        </w:rPr>
        <w:t>的虚实融合多模态工艺知识挖掘与图谱动态演化研究，构建航空装备“设计-工艺-制造”集成驱动的基础理论与方法。</w:t>
      </w:r>
    </w:p>
    <w:p w14:paraId="30F4035F">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val="en-US" w:eastAsia="zh-CN"/>
        </w:rPr>
        <w:t>（六）</w:t>
      </w:r>
      <w:r>
        <w:rPr>
          <w:rFonts w:hint="default" w:ascii="Times New Roman" w:hAnsi="Times New Roman" w:eastAsia="楷体_GB2312" w:cs="Times New Roman"/>
          <w:b/>
          <w:bCs/>
          <w:sz w:val="32"/>
          <w:szCs w:val="32"/>
          <w:u w:val="none"/>
        </w:rPr>
        <w:t>环境保护领域</w:t>
      </w:r>
    </w:p>
    <w:p w14:paraId="088946D7">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1．鄱阳湖流域</w:t>
      </w:r>
      <w:r>
        <w:rPr>
          <w:rFonts w:hint="default" w:ascii="Times New Roman" w:hAnsi="Times New Roman" w:eastAsia="仿宋_GB2312" w:cs="Times New Roman"/>
          <w:b/>
          <w:bCs/>
          <w:sz w:val="32"/>
          <w:szCs w:val="32"/>
          <w:u w:val="none"/>
          <w:lang w:val="en-US" w:eastAsia="zh-CN"/>
        </w:rPr>
        <w:t>水</w:t>
      </w:r>
      <w:r>
        <w:rPr>
          <w:rFonts w:hint="default" w:ascii="Times New Roman" w:hAnsi="Times New Roman" w:eastAsia="仿宋_GB2312" w:cs="Times New Roman"/>
          <w:b/>
          <w:bCs/>
          <w:sz w:val="32"/>
          <w:szCs w:val="32"/>
          <w:u w:val="none"/>
        </w:rPr>
        <w:t>生态环境治理与保护机制研究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4AE84311">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针对鄱阳湖流域存在的</w:t>
      </w:r>
      <w:r>
        <w:rPr>
          <w:rFonts w:hint="default" w:ascii="Times New Roman" w:hAnsi="Times New Roman" w:eastAsia="仿宋_GB2312" w:cs="Times New Roman"/>
          <w:sz w:val="32"/>
          <w:szCs w:val="32"/>
          <w:u w:val="none"/>
          <w:lang w:val="en-US" w:eastAsia="zh-CN"/>
        </w:rPr>
        <w:t>水</w:t>
      </w:r>
      <w:r>
        <w:rPr>
          <w:rFonts w:hint="default" w:ascii="Times New Roman" w:hAnsi="Times New Roman" w:eastAsia="仿宋_GB2312" w:cs="Times New Roman"/>
          <w:sz w:val="32"/>
          <w:szCs w:val="32"/>
          <w:u w:val="none"/>
        </w:rPr>
        <w:t>生态环境污染问题，</w:t>
      </w:r>
      <w:r>
        <w:rPr>
          <w:rFonts w:hint="default" w:ascii="Times New Roman" w:hAnsi="Times New Roman" w:eastAsia="仿宋_GB2312" w:cs="Times New Roman"/>
          <w:sz w:val="32"/>
          <w:szCs w:val="32"/>
          <w:u w:val="none"/>
          <w:lang w:val="en-US" w:eastAsia="zh-CN"/>
        </w:rPr>
        <w:t>研究</w:t>
      </w:r>
      <w:r>
        <w:rPr>
          <w:rFonts w:hint="default" w:ascii="Times New Roman" w:hAnsi="Times New Roman" w:eastAsia="仿宋_GB2312" w:cs="Times New Roman"/>
          <w:sz w:val="32"/>
          <w:szCs w:val="32"/>
          <w:u w:val="none"/>
        </w:rPr>
        <w:t>高浊水体的离散三维荧光光谱指纹解混与原位监测</w:t>
      </w:r>
      <w:r>
        <w:rPr>
          <w:rFonts w:hint="default" w:ascii="Times New Roman" w:hAnsi="Times New Roman" w:eastAsia="仿宋_GB2312" w:cs="Times New Roman"/>
          <w:sz w:val="32"/>
          <w:szCs w:val="32"/>
          <w:u w:val="none"/>
          <w:lang w:val="en-US" w:eastAsia="zh-CN"/>
        </w:rPr>
        <w:t>方法，</w:t>
      </w:r>
      <w:r>
        <w:rPr>
          <w:rFonts w:hint="default" w:ascii="Times New Roman" w:hAnsi="Times New Roman" w:eastAsia="仿宋_GB2312" w:cs="Times New Roman"/>
          <w:sz w:val="32"/>
          <w:szCs w:val="32"/>
          <w:u w:val="none"/>
        </w:rPr>
        <w:t>研究极端气候变化条件下鄱阳湖流域水文-生态系统非线性响应机制与韧性提升关键技术；</w:t>
      </w:r>
      <w:r>
        <w:rPr>
          <w:rFonts w:hint="default" w:ascii="Times New Roman" w:hAnsi="Times New Roman" w:eastAsia="仿宋_GB2312" w:cs="Times New Roman"/>
          <w:sz w:val="32"/>
          <w:szCs w:val="32"/>
          <w:u w:val="none"/>
          <w:lang w:val="en-US" w:eastAsia="zh-CN"/>
        </w:rPr>
        <w:t>揭示</w:t>
      </w:r>
      <w:r>
        <w:rPr>
          <w:rFonts w:hint="default" w:ascii="Times New Roman" w:hAnsi="Times New Roman" w:eastAsia="仿宋_GB2312" w:cs="Times New Roman"/>
          <w:sz w:val="32"/>
          <w:szCs w:val="32"/>
          <w:u w:val="none"/>
        </w:rPr>
        <w:t>鄱阳湖流域水体中总磷与新污染物协同高效去除关键技术及机制。</w:t>
      </w:r>
    </w:p>
    <w:p w14:paraId="3D46EF0F">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2</w:t>
      </w:r>
      <w:r>
        <w:rPr>
          <w:rFonts w:hint="default" w:ascii="Times New Roman" w:hAnsi="Times New Roman" w:eastAsia="仿宋_GB2312" w:cs="Times New Roman"/>
          <w:b/>
          <w:bCs/>
          <w:sz w:val="32"/>
          <w:szCs w:val="32"/>
          <w:u w:val="none"/>
        </w:rPr>
        <w:t>．特征</w:t>
      </w:r>
      <w:r>
        <w:rPr>
          <w:rFonts w:hint="default" w:ascii="Times New Roman" w:hAnsi="Times New Roman" w:eastAsia="仿宋_GB2312" w:cs="Times New Roman"/>
          <w:b/>
          <w:bCs/>
          <w:sz w:val="32"/>
          <w:szCs w:val="32"/>
          <w:u w:val="none"/>
          <w:lang w:val="en-US" w:eastAsia="zh-CN"/>
        </w:rPr>
        <w:t>新</w:t>
      </w:r>
      <w:r>
        <w:rPr>
          <w:rFonts w:hint="default" w:ascii="Times New Roman" w:hAnsi="Times New Roman" w:eastAsia="仿宋_GB2312" w:cs="Times New Roman"/>
          <w:b/>
          <w:bCs/>
          <w:sz w:val="32"/>
          <w:szCs w:val="32"/>
          <w:u w:val="none"/>
        </w:rPr>
        <w:t>污染物去除机理与防治创新</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436DE38B">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w:t>
      </w:r>
      <w:r>
        <w:rPr>
          <w:rFonts w:hint="default" w:ascii="Times New Roman" w:hAnsi="Times New Roman" w:eastAsia="仿宋_GB2312" w:cs="Times New Roman"/>
          <w:sz w:val="32"/>
          <w:szCs w:val="32"/>
          <w:u w:val="none"/>
          <w:lang w:val="en-US" w:eastAsia="zh-CN"/>
        </w:rPr>
        <w:t>南昌市污废水和饮用水中</w:t>
      </w:r>
      <w:r>
        <w:rPr>
          <w:rFonts w:hint="default" w:ascii="Times New Roman" w:hAnsi="Times New Roman" w:eastAsia="仿宋_GB2312" w:cs="Times New Roman"/>
          <w:sz w:val="32"/>
          <w:szCs w:val="32"/>
          <w:u w:val="none"/>
        </w:rPr>
        <w:t>多源抗生素</w:t>
      </w:r>
      <w:r>
        <w:rPr>
          <w:rFonts w:hint="default" w:ascii="Times New Roman" w:hAnsi="Times New Roman" w:eastAsia="仿宋_GB2312" w:cs="Times New Roman"/>
          <w:sz w:val="32"/>
          <w:szCs w:val="32"/>
          <w:u w:val="none"/>
          <w:lang w:val="en-US" w:eastAsia="zh-CN"/>
        </w:rPr>
        <w:t>等典型新污染</w:t>
      </w:r>
      <w:r>
        <w:rPr>
          <w:rFonts w:hint="default" w:ascii="Times New Roman" w:hAnsi="Times New Roman" w:eastAsia="仿宋_GB2312" w:cs="Times New Roman"/>
          <w:sz w:val="32"/>
          <w:szCs w:val="32"/>
          <w:u w:val="none"/>
        </w:rPr>
        <w:t>治理难题，研究高效绿色去除</w:t>
      </w:r>
      <w:r>
        <w:rPr>
          <w:rFonts w:hint="default" w:ascii="Times New Roman" w:hAnsi="Times New Roman" w:eastAsia="仿宋_GB2312" w:cs="Times New Roman"/>
          <w:sz w:val="32"/>
          <w:szCs w:val="32"/>
          <w:u w:val="none"/>
          <w:lang w:val="en-US" w:eastAsia="zh-CN"/>
        </w:rPr>
        <w:t>典型</w:t>
      </w:r>
      <w:r>
        <w:rPr>
          <w:rFonts w:hint="default" w:ascii="Times New Roman" w:hAnsi="Times New Roman" w:eastAsia="仿宋_GB2312" w:cs="Times New Roman"/>
          <w:sz w:val="32"/>
          <w:szCs w:val="32"/>
          <w:u w:val="none"/>
        </w:rPr>
        <w:t>抗生素废水</w:t>
      </w:r>
      <w:r>
        <w:rPr>
          <w:rFonts w:hint="default" w:ascii="Times New Roman" w:hAnsi="Times New Roman" w:eastAsia="仿宋_GB2312" w:cs="Times New Roman"/>
          <w:sz w:val="32"/>
          <w:szCs w:val="32"/>
          <w:u w:val="none"/>
          <w:lang w:val="en-US" w:eastAsia="zh-CN"/>
        </w:rPr>
        <w:t>的过程行为及</w:t>
      </w:r>
      <w:r>
        <w:rPr>
          <w:rFonts w:hint="default" w:ascii="Times New Roman" w:hAnsi="Times New Roman" w:eastAsia="仿宋_GB2312" w:cs="Times New Roman"/>
          <w:sz w:val="32"/>
          <w:szCs w:val="32"/>
          <w:u w:val="none"/>
        </w:rPr>
        <w:t>机理，</w:t>
      </w:r>
      <w:r>
        <w:rPr>
          <w:rFonts w:hint="default" w:ascii="Times New Roman" w:hAnsi="Times New Roman" w:eastAsia="仿宋_GB2312" w:cs="Times New Roman"/>
          <w:sz w:val="32"/>
          <w:szCs w:val="32"/>
          <w:u w:val="none"/>
          <w:lang w:val="en-US" w:eastAsia="zh-CN"/>
        </w:rPr>
        <w:t>研</w:t>
      </w:r>
      <w:r>
        <w:rPr>
          <w:rFonts w:hint="default" w:ascii="Times New Roman" w:hAnsi="Times New Roman" w:eastAsia="仿宋_GB2312" w:cs="Times New Roman"/>
          <w:sz w:val="32"/>
          <w:szCs w:val="32"/>
          <w:u w:val="none"/>
        </w:rPr>
        <w:t>发高效处理处置关键</w:t>
      </w:r>
      <w:r>
        <w:rPr>
          <w:rFonts w:hint="default" w:ascii="Times New Roman" w:hAnsi="Times New Roman" w:eastAsia="仿宋_GB2312" w:cs="Times New Roman"/>
          <w:sz w:val="32"/>
          <w:szCs w:val="32"/>
          <w:u w:val="none"/>
          <w:lang w:val="en-US" w:eastAsia="zh-CN"/>
        </w:rPr>
        <w:t>材料、</w:t>
      </w:r>
      <w:r>
        <w:rPr>
          <w:rFonts w:hint="default" w:ascii="Times New Roman" w:hAnsi="Times New Roman" w:eastAsia="仿宋_GB2312" w:cs="Times New Roman"/>
          <w:sz w:val="32"/>
          <w:szCs w:val="32"/>
          <w:u w:val="none"/>
        </w:rPr>
        <w:t>技术</w:t>
      </w:r>
      <w:r>
        <w:rPr>
          <w:rFonts w:hint="default" w:ascii="Times New Roman" w:hAnsi="Times New Roman" w:eastAsia="仿宋_GB2312" w:cs="Times New Roman"/>
          <w:sz w:val="32"/>
          <w:szCs w:val="32"/>
          <w:u w:val="none"/>
          <w:lang w:val="en-US" w:eastAsia="zh-CN"/>
        </w:rPr>
        <w:t>和装备</w:t>
      </w:r>
      <w:r>
        <w:rPr>
          <w:rFonts w:hint="default" w:ascii="Times New Roman" w:hAnsi="Times New Roman" w:eastAsia="仿宋_GB2312" w:cs="Times New Roman"/>
          <w:sz w:val="32"/>
          <w:szCs w:val="32"/>
          <w:u w:val="none"/>
        </w:rPr>
        <w:t>。</w:t>
      </w:r>
    </w:p>
    <w:p w14:paraId="36EA146A">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3</w:t>
      </w:r>
      <w:r>
        <w:rPr>
          <w:rFonts w:hint="default" w:ascii="Times New Roman" w:hAnsi="Times New Roman" w:eastAsia="仿宋_GB2312" w:cs="Times New Roman"/>
          <w:b/>
          <w:bCs/>
          <w:sz w:val="32"/>
          <w:szCs w:val="32"/>
          <w:u w:val="none"/>
        </w:rPr>
        <w:t>．红</w:t>
      </w:r>
      <w:r>
        <w:rPr>
          <w:rFonts w:hint="default" w:ascii="Times New Roman" w:hAnsi="Times New Roman" w:eastAsia="仿宋_GB2312" w:cs="Times New Roman"/>
          <w:b/>
          <w:bCs/>
          <w:spacing w:val="-2"/>
          <w:sz w:val="32"/>
          <w:szCs w:val="32"/>
          <w:u w:val="none"/>
        </w:rPr>
        <w:t>壤丘陵资源退化、生态修复与改良利用技术及机理研究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06ED9FE3">
      <w:pPr>
        <w:pStyle w:val="4"/>
        <w:keepNext w:val="0"/>
        <w:keepLines w:val="0"/>
        <w:pageBreakBefore w:val="0"/>
        <w:widowControl w:val="0"/>
        <w:kinsoku/>
        <w:overflowPunct/>
        <w:topLinePunct w:val="0"/>
        <w:bidi w:val="0"/>
        <w:spacing w:after="0" w:line="600" w:lineRule="exact"/>
        <w:ind w:left="0" w:leftChars="0" w:firstLine="64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针对我省红壤丘陵资源存在</w:t>
      </w:r>
      <w:r>
        <w:rPr>
          <w:rFonts w:hint="default" w:ascii="Times New Roman" w:hAnsi="Times New Roman" w:eastAsia="仿宋_GB2312" w:cs="Times New Roman"/>
          <w:sz w:val="32"/>
          <w:szCs w:val="32"/>
          <w:u w:val="none"/>
          <w:lang w:val="en-US" w:eastAsia="zh-CN"/>
        </w:rPr>
        <w:t>的</w:t>
      </w:r>
      <w:r>
        <w:rPr>
          <w:rFonts w:hint="default" w:ascii="Times New Roman" w:hAnsi="Times New Roman" w:eastAsia="仿宋_GB2312" w:cs="Times New Roman"/>
          <w:sz w:val="32"/>
          <w:szCs w:val="32"/>
          <w:u w:val="none"/>
        </w:rPr>
        <w:t>严重退化问题，深入调查红壤丘陵资源退化现状、主要类型及退化机制；研发红壤资源生态修复模式、技术及机理</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评估</w:t>
      </w:r>
      <w:r>
        <w:rPr>
          <w:rFonts w:hint="default" w:ascii="Times New Roman" w:hAnsi="Times New Roman" w:eastAsia="仿宋_GB2312" w:cs="Times New Roman"/>
          <w:sz w:val="32"/>
          <w:szCs w:val="32"/>
          <w:u w:val="none"/>
        </w:rPr>
        <w:t>红壤丘陵区重大生态修复工程碳汇效益；研发改性粉煤灰基调理剂</w:t>
      </w:r>
      <w:r>
        <w:rPr>
          <w:rFonts w:hint="default" w:ascii="Times New Roman" w:hAnsi="Times New Roman" w:eastAsia="仿宋_GB2312" w:cs="Times New Roman"/>
          <w:sz w:val="32"/>
          <w:szCs w:val="32"/>
          <w:u w:val="none"/>
          <w:lang w:val="en-US" w:eastAsia="zh-CN"/>
        </w:rPr>
        <w:t>等关键功能材料</w:t>
      </w:r>
      <w:r>
        <w:rPr>
          <w:rFonts w:hint="default" w:ascii="Times New Roman" w:hAnsi="Times New Roman" w:eastAsia="仿宋_GB2312" w:cs="Times New Roman"/>
          <w:sz w:val="32"/>
          <w:szCs w:val="32"/>
          <w:u w:val="none"/>
        </w:rPr>
        <w:t>及其对红壤改良效果与机理。</w:t>
      </w:r>
    </w:p>
    <w:p w14:paraId="24E494DB">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val="en-US" w:eastAsia="zh-CN"/>
        </w:rPr>
        <w:t>（七）</w:t>
      </w:r>
      <w:r>
        <w:rPr>
          <w:rFonts w:hint="default" w:ascii="Times New Roman" w:hAnsi="Times New Roman" w:eastAsia="楷体_GB2312" w:cs="Times New Roman"/>
          <w:b/>
          <w:bCs/>
          <w:sz w:val="32"/>
          <w:szCs w:val="32"/>
          <w:u w:val="none"/>
        </w:rPr>
        <w:t>食品与农业领域</w:t>
      </w:r>
    </w:p>
    <w:p w14:paraId="5EEE3E2C">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1．畜牧水产养殖与疫病防控关键技术研究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1D43C3D6">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针对南昌特色畜禽</w:t>
      </w:r>
      <w:r>
        <w:rPr>
          <w:rFonts w:hint="default" w:ascii="Times New Roman" w:hAnsi="Times New Roman" w:eastAsia="仿宋_GB2312" w:cs="Times New Roman"/>
          <w:sz w:val="32"/>
          <w:szCs w:val="32"/>
          <w:u w:val="none"/>
          <w:lang w:val="en-US" w:eastAsia="zh-CN"/>
        </w:rPr>
        <w:t>或</w:t>
      </w:r>
      <w:r>
        <w:rPr>
          <w:rFonts w:hint="default" w:ascii="Times New Roman" w:hAnsi="Times New Roman" w:eastAsia="仿宋_GB2312" w:cs="Times New Roman"/>
          <w:sz w:val="32"/>
          <w:szCs w:val="32"/>
          <w:u w:val="none"/>
        </w:rPr>
        <w:t>水产养殖产业关键问题，聚焦病原菌致病机理，挖掘特异性致病调控因子，建立基于生物标志物的早期诊断方法，筛选绿色靶向减抗药物；</w:t>
      </w:r>
      <w:r>
        <w:rPr>
          <w:rFonts w:hint="default" w:ascii="Times New Roman" w:hAnsi="Times New Roman" w:eastAsia="仿宋_GB2312" w:cs="Times New Roman"/>
          <w:sz w:val="32"/>
          <w:szCs w:val="32"/>
          <w:u w:val="none"/>
          <w:lang w:val="en-US" w:eastAsia="zh-CN"/>
        </w:rPr>
        <w:t>或</w:t>
      </w:r>
      <w:r>
        <w:rPr>
          <w:rFonts w:hint="default" w:ascii="Times New Roman" w:hAnsi="Times New Roman" w:eastAsia="仿宋_GB2312" w:cs="Times New Roman"/>
          <w:sz w:val="32"/>
          <w:szCs w:val="32"/>
          <w:u w:val="none"/>
        </w:rPr>
        <w:t>重点解析关键营养需求，构建精准营养数据库并研发专用饲料，建立绿色养殖体系，为产业发展提供理论与技术支撑。</w:t>
      </w:r>
    </w:p>
    <w:p w14:paraId="301C12A5">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lang w:val="en-US" w:eastAsia="zh-CN"/>
        </w:rPr>
        <w:t>（八）</w:t>
      </w:r>
      <w:r>
        <w:rPr>
          <w:rFonts w:hint="default" w:ascii="Times New Roman" w:hAnsi="Times New Roman" w:eastAsia="楷体_GB2312" w:cs="Times New Roman"/>
          <w:b/>
          <w:bCs/>
          <w:sz w:val="32"/>
          <w:szCs w:val="32"/>
          <w:u w:val="none"/>
        </w:rPr>
        <w:t>建筑与交通领域</w:t>
      </w:r>
    </w:p>
    <w:p w14:paraId="2D58C0E6">
      <w:pPr>
        <w:keepNext w:val="0"/>
        <w:keepLines w:val="0"/>
        <w:pageBreakBefore w:val="0"/>
        <w:widowControl w:val="0"/>
        <w:kinsoku/>
        <w:overflowPunct/>
        <w:topLinePunct w:val="0"/>
        <w:bidi w:val="0"/>
        <w:snapToGrid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1．大模型赋能的运输设备制动系统关键部件故障预测研究</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69C4CA08">
      <w:pPr>
        <w:keepNext w:val="0"/>
        <w:keepLines w:val="0"/>
        <w:pageBreakBefore w:val="0"/>
        <w:widowControl w:val="0"/>
        <w:kinsoku/>
        <w:overflowPunct/>
        <w:topLinePunct w:val="0"/>
        <w:bidi w:val="0"/>
        <w:snapToGrid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lang w:val="en-US" w:eastAsia="zh-CN"/>
        </w:rPr>
        <w:t>结合</w:t>
      </w:r>
      <w:r>
        <w:rPr>
          <w:rFonts w:hint="default" w:ascii="Times New Roman" w:hAnsi="Times New Roman" w:eastAsia="仿宋_GB2312" w:cs="Times New Roman"/>
          <w:sz w:val="32"/>
          <w:szCs w:val="32"/>
          <w:u w:val="none"/>
        </w:rPr>
        <w:t>运输设备制动系统关键部件故障预测</w:t>
      </w:r>
      <w:r>
        <w:rPr>
          <w:rFonts w:hint="default" w:ascii="Times New Roman" w:hAnsi="Times New Roman" w:eastAsia="仿宋_GB2312" w:cs="Times New Roman"/>
          <w:sz w:val="32"/>
          <w:szCs w:val="32"/>
          <w:u w:val="none"/>
          <w:lang w:val="en-US" w:eastAsia="zh-CN"/>
        </w:rPr>
        <w:t>的现实需求</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val="en-US" w:eastAsia="zh-CN"/>
        </w:rPr>
        <w:t>在已有部件退化特征数据与传统故障演化推理模型的基础上，突破</w:t>
      </w:r>
      <w:r>
        <w:rPr>
          <w:rFonts w:hint="default" w:ascii="Times New Roman" w:hAnsi="Times New Roman" w:eastAsia="仿宋_GB2312" w:cs="Times New Roman"/>
          <w:sz w:val="32"/>
          <w:szCs w:val="32"/>
          <w:u w:val="none"/>
        </w:rPr>
        <w:t>多源异构数据融合</w:t>
      </w:r>
      <w:r>
        <w:rPr>
          <w:rFonts w:hint="default" w:ascii="Times New Roman" w:hAnsi="Times New Roman" w:eastAsia="仿宋_GB2312" w:cs="Times New Roman"/>
          <w:sz w:val="32"/>
          <w:szCs w:val="32"/>
          <w:u w:val="none"/>
          <w:lang w:val="en-US" w:eastAsia="zh-CN"/>
        </w:rPr>
        <w:t>技术</w:t>
      </w:r>
      <w:r>
        <w:rPr>
          <w:rFonts w:hint="default" w:ascii="Times New Roman" w:hAnsi="Times New Roman" w:eastAsia="仿宋_GB2312" w:cs="Times New Roman"/>
          <w:sz w:val="32"/>
          <w:szCs w:val="32"/>
          <w:u w:val="none"/>
        </w:rPr>
        <w:t>、构建领域知识增强的多模态大模型架构，提出物理机理与数据驱动协同融合的故障预测</w:t>
      </w:r>
      <w:r>
        <w:rPr>
          <w:rFonts w:hint="default" w:ascii="Times New Roman" w:hAnsi="Times New Roman" w:eastAsia="仿宋_GB2312" w:cs="Times New Roman"/>
          <w:sz w:val="32"/>
          <w:szCs w:val="32"/>
          <w:u w:val="none"/>
          <w:lang w:val="en-US" w:eastAsia="zh-CN"/>
        </w:rPr>
        <w:t>模型</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val="en-US" w:eastAsia="zh-CN"/>
        </w:rPr>
        <w:t>支撑</w:t>
      </w:r>
      <w:r>
        <w:rPr>
          <w:rFonts w:hint="default" w:ascii="Times New Roman" w:hAnsi="Times New Roman" w:eastAsia="仿宋_GB2312" w:cs="Times New Roman"/>
          <w:sz w:val="32"/>
          <w:szCs w:val="32"/>
          <w:u w:val="none"/>
        </w:rPr>
        <w:t>实现关键部件全寿命健康管理</w:t>
      </w:r>
      <w:r>
        <w:rPr>
          <w:rFonts w:hint="default" w:ascii="Times New Roman" w:hAnsi="Times New Roman" w:eastAsia="仿宋_GB2312" w:cs="Times New Roman"/>
          <w:sz w:val="32"/>
          <w:szCs w:val="32"/>
          <w:u w:val="none"/>
          <w:lang w:val="en-US" w:eastAsia="zh-CN"/>
        </w:rPr>
        <w:t>的</w:t>
      </w:r>
      <w:r>
        <w:rPr>
          <w:rFonts w:hint="default" w:ascii="Times New Roman" w:hAnsi="Times New Roman" w:eastAsia="仿宋_GB2312" w:cs="Times New Roman"/>
          <w:sz w:val="32"/>
          <w:szCs w:val="32"/>
          <w:u w:val="none"/>
        </w:rPr>
        <w:t>智能</w:t>
      </w:r>
      <w:r>
        <w:rPr>
          <w:rFonts w:hint="default" w:ascii="Times New Roman" w:hAnsi="Times New Roman" w:eastAsia="仿宋_GB2312" w:cs="Times New Roman"/>
          <w:sz w:val="32"/>
          <w:szCs w:val="32"/>
          <w:u w:val="none"/>
          <w:lang w:val="en-US" w:eastAsia="zh-CN"/>
        </w:rPr>
        <w:t>辅助</w:t>
      </w:r>
      <w:r>
        <w:rPr>
          <w:rFonts w:hint="default" w:ascii="Times New Roman" w:hAnsi="Times New Roman" w:eastAsia="仿宋_GB2312" w:cs="Times New Roman"/>
          <w:sz w:val="32"/>
          <w:szCs w:val="32"/>
          <w:u w:val="none"/>
        </w:rPr>
        <w:t>决策。</w:t>
      </w:r>
    </w:p>
    <w:p w14:paraId="3C285758">
      <w:pPr>
        <w:keepNext w:val="0"/>
        <w:keepLines w:val="0"/>
        <w:pageBreakBefore w:val="0"/>
        <w:widowControl w:val="0"/>
        <w:kinsoku/>
        <w:overflowPunct/>
        <w:topLinePunct w:val="0"/>
        <w:bidi w:val="0"/>
        <w:snapToGrid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rPr>
        <w:t>2．基于大数据与人工智能的道路智慧管养一体化系统研发</w:t>
      </w:r>
      <w:r>
        <w:rPr>
          <w:rFonts w:hint="default" w:ascii="Times New Roman" w:hAnsi="Times New Roman" w:eastAsia="仿宋_GB2312" w:cs="Times New Roman"/>
          <w:b/>
          <w:bCs/>
          <w:sz w:val="32"/>
          <w:szCs w:val="32"/>
          <w:u w:val="none"/>
          <w:lang w:eastAsia="zh-CN"/>
        </w:rPr>
        <w:t>（</w:t>
      </w:r>
      <w:r>
        <w:rPr>
          <w:rFonts w:hint="default" w:ascii="Times New Roman" w:hAnsi="Times New Roman" w:eastAsia="仿宋_GB2312" w:cs="Times New Roman"/>
          <w:b/>
          <w:bCs/>
          <w:sz w:val="32"/>
          <w:szCs w:val="32"/>
          <w:u w:val="none"/>
        </w:rPr>
        <w:t>地域特征和产业特色</w:t>
      </w:r>
      <w:r>
        <w:rPr>
          <w:rFonts w:hint="default" w:ascii="Times New Roman" w:hAnsi="Times New Roman" w:eastAsia="仿宋_GB2312" w:cs="Times New Roman"/>
          <w:b/>
          <w:bCs/>
          <w:sz w:val="32"/>
          <w:szCs w:val="32"/>
          <w:u w:val="none"/>
          <w:lang w:val="en-US" w:eastAsia="zh-CN"/>
        </w:rPr>
        <w:t>项目</w:t>
      </w:r>
      <w:r>
        <w:rPr>
          <w:rFonts w:hint="default" w:ascii="Times New Roman" w:hAnsi="Times New Roman" w:eastAsia="仿宋_GB2312" w:cs="Times New Roman"/>
          <w:b/>
          <w:bCs/>
          <w:sz w:val="32"/>
          <w:szCs w:val="32"/>
          <w:u w:val="none"/>
          <w:lang w:eastAsia="zh-CN"/>
        </w:rPr>
        <w:t>）</w:t>
      </w:r>
    </w:p>
    <w:p w14:paraId="65A46083">
      <w:pPr>
        <w:keepNext w:val="0"/>
        <w:keepLines w:val="0"/>
        <w:pageBreakBefore w:val="0"/>
        <w:widowControl w:val="0"/>
        <w:kinsoku/>
        <w:overflowPunct/>
        <w:topLinePunct w:val="0"/>
        <w:bidi w:val="0"/>
        <w:snapToGrid w:val="0"/>
        <w:spacing w:line="600" w:lineRule="exact"/>
        <w:ind w:firstLine="640" w:firstLineChars="200"/>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针对</w:t>
      </w:r>
      <w:r>
        <w:rPr>
          <w:rFonts w:hint="default" w:ascii="Times New Roman" w:hAnsi="Times New Roman" w:eastAsia="仿宋_GB2312" w:cs="Times New Roman"/>
          <w:sz w:val="32"/>
          <w:szCs w:val="32"/>
          <w:u w:val="none"/>
          <w:lang w:val="en-US" w:eastAsia="zh-CN"/>
        </w:rPr>
        <w:t>传统</w:t>
      </w:r>
      <w:r>
        <w:rPr>
          <w:rFonts w:hint="default" w:ascii="Times New Roman" w:hAnsi="Times New Roman" w:eastAsia="仿宋_GB2312" w:cs="Times New Roman"/>
          <w:sz w:val="32"/>
          <w:szCs w:val="32"/>
          <w:u w:val="none"/>
        </w:rPr>
        <w:t>道路养护模式高度依赖人工、数据割裂、决策主观、效率低下的痛点，研发集“检测、决策、设计”于一体的智能化系统</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重点研究复杂环境下路面病害的高精度智能识别技术，提出多源异构数据融合的</w:t>
      </w:r>
      <w:r>
        <w:rPr>
          <w:rFonts w:hint="default" w:ascii="Times New Roman" w:hAnsi="Times New Roman" w:eastAsia="仿宋_GB2312" w:cs="Times New Roman"/>
          <w:sz w:val="32"/>
          <w:szCs w:val="32"/>
          <w:u w:val="none"/>
          <w:lang w:val="en-US" w:eastAsia="zh-CN"/>
        </w:rPr>
        <w:t>路面病害评定方法</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val="en-US" w:eastAsia="zh-CN"/>
        </w:rPr>
        <w:t>构建基础多模态大模型的道路养护决策方法，</w:t>
      </w:r>
      <w:r>
        <w:rPr>
          <w:rFonts w:hint="default" w:ascii="Times New Roman" w:hAnsi="Times New Roman" w:eastAsia="仿宋_GB2312" w:cs="Times New Roman"/>
          <w:sz w:val="32"/>
          <w:szCs w:val="32"/>
          <w:u w:val="none"/>
        </w:rPr>
        <w:t>实现养护设计方案的自动化</w:t>
      </w:r>
      <w:r>
        <w:rPr>
          <w:rFonts w:hint="default" w:ascii="Times New Roman" w:hAnsi="Times New Roman" w:eastAsia="仿宋_GB2312" w:cs="Times New Roman"/>
          <w:sz w:val="32"/>
          <w:szCs w:val="32"/>
          <w:u w:val="none"/>
          <w:lang w:val="en-US" w:eastAsia="zh-CN"/>
        </w:rPr>
        <w:t>生成</w:t>
      </w:r>
      <w:r>
        <w:rPr>
          <w:rFonts w:hint="default" w:ascii="Times New Roman" w:hAnsi="Times New Roman" w:eastAsia="仿宋_GB2312" w:cs="Times New Roman"/>
          <w:sz w:val="32"/>
          <w:szCs w:val="32"/>
          <w:u w:val="none"/>
        </w:rPr>
        <w:t>，提升道路管养的智能化、精准化水平。</w:t>
      </w:r>
    </w:p>
    <w:p w14:paraId="25B4E0FC">
      <w:pPr>
        <w:pStyle w:val="4"/>
        <w:keepNext w:val="0"/>
        <w:keepLines w:val="0"/>
        <w:pageBreakBefore w:val="0"/>
        <w:widowControl w:val="0"/>
        <w:kinsoku/>
        <w:overflowPunct/>
        <w:topLinePunct w:val="0"/>
        <w:bidi w:val="0"/>
        <w:spacing w:after="0" w:line="600" w:lineRule="exact"/>
        <w:ind w:left="0" w:leftChars="0" w:firstLine="640"/>
        <w:rPr>
          <w:rFonts w:hint="default" w:ascii="Times New Roman" w:hAnsi="Times New Roman" w:eastAsia="楷体_GB2312" w:cs="Times New Roman"/>
          <w:b/>
          <w:color w:val="000000"/>
          <w:kern w:val="0"/>
          <w:sz w:val="32"/>
          <w:szCs w:val="32"/>
        </w:rPr>
      </w:pPr>
      <w:r>
        <w:rPr>
          <w:rFonts w:hint="default" w:ascii="Times New Roman" w:hAnsi="Times New Roman" w:eastAsia="黑体" w:cs="Times New Roman"/>
          <w:color w:val="000000"/>
          <w:kern w:val="0"/>
          <w:sz w:val="32"/>
          <w:szCs w:val="32"/>
          <w:lang w:val="en-US" w:eastAsia="zh-CN"/>
        </w:rPr>
        <w:t>二</w:t>
      </w:r>
      <w:r>
        <w:rPr>
          <w:rFonts w:hint="default" w:ascii="Times New Roman" w:hAnsi="Times New Roman" w:eastAsia="黑体" w:cs="Times New Roman"/>
          <w:color w:val="000000"/>
          <w:kern w:val="0"/>
          <w:sz w:val="32"/>
          <w:szCs w:val="32"/>
        </w:rPr>
        <w:t>、省自然科学基金赣南苏区创新发展联合基金指南</w:t>
      </w:r>
    </w:p>
    <w:p w14:paraId="7741836D">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楷体_GB2312" w:cs="Times New Roman"/>
          <w:b/>
          <w:color w:val="000000"/>
          <w:kern w:val="0"/>
          <w:sz w:val="32"/>
          <w:szCs w:val="32"/>
          <w:lang w:val="en-US" w:eastAsia="zh-CN"/>
        </w:rPr>
      </w:pPr>
      <w:r>
        <w:rPr>
          <w:rFonts w:hint="default" w:ascii="Times New Roman" w:hAnsi="Times New Roman" w:eastAsia="楷体_GB2312" w:cs="Times New Roman"/>
          <w:b/>
          <w:color w:val="000000"/>
          <w:kern w:val="0"/>
          <w:sz w:val="32"/>
          <w:szCs w:val="32"/>
          <w:lang w:eastAsia="zh-CN"/>
        </w:rPr>
        <w:t>（</w:t>
      </w:r>
      <w:r>
        <w:rPr>
          <w:rFonts w:hint="default" w:ascii="Times New Roman" w:hAnsi="Times New Roman" w:eastAsia="楷体_GB2312" w:cs="Times New Roman"/>
          <w:b/>
          <w:color w:val="000000"/>
          <w:kern w:val="0"/>
          <w:sz w:val="32"/>
          <w:szCs w:val="32"/>
          <w:lang w:val="en-US" w:eastAsia="zh-CN"/>
        </w:rPr>
        <w:t>一</w:t>
      </w:r>
      <w:r>
        <w:rPr>
          <w:rFonts w:hint="default" w:ascii="Times New Roman" w:hAnsi="Times New Roman" w:eastAsia="楷体_GB2312" w:cs="Times New Roman"/>
          <w:b/>
          <w:color w:val="000000"/>
          <w:kern w:val="0"/>
          <w:sz w:val="32"/>
          <w:szCs w:val="32"/>
          <w:lang w:eastAsia="zh-CN"/>
        </w:rPr>
        <w:t>）</w:t>
      </w:r>
      <w:r>
        <w:rPr>
          <w:rFonts w:hint="default" w:ascii="Times New Roman" w:hAnsi="Times New Roman" w:eastAsia="楷体_GB2312" w:cs="Times New Roman"/>
          <w:b/>
          <w:color w:val="000000"/>
          <w:kern w:val="0"/>
          <w:sz w:val="32"/>
          <w:szCs w:val="32"/>
          <w:lang w:val="en-US" w:eastAsia="zh-CN"/>
        </w:rPr>
        <w:t>重点项目</w:t>
      </w:r>
    </w:p>
    <w:p w14:paraId="3E63A61C">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1．</w:t>
      </w:r>
      <w:r>
        <w:rPr>
          <w:rFonts w:hint="default" w:ascii="Times New Roman" w:hAnsi="Times New Roman" w:eastAsia="仿宋_GB2312" w:cs="Times New Roman"/>
          <w:b/>
          <w:bCs/>
          <w:sz w:val="32"/>
          <w:szCs w:val="32"/>
          <w:u w:val="none"/>
        </w:rPr>
        <w:t>稀土、有色金属领域</w:t>
      </w:r>
    </w:p>
    <w:p w14:paraId="15590A14">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1</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bCs/>
          <w:color w:val="000000"/>
          <w:sz w:val="32"/>
          <w:szCs w:val="32"/>
        </w:rPr>
        <w:t>低温氟盐体系铝诱导变价稀土钐电化学还原机理研究</w:t>
      </w:r>
      <w:r>
        <w:rPr>
          <w:rFonts w:hint="default" w:ascii="Times New Roman" w:hAnsi="Times New Roman" w:eastAsia="仿宋_GB2312" w:cs="Times New Roman"/>
          <w:b/>
          <w:bCs/>
          <w:color w:val="000000"/>
          <w:kern w:val="0"/>
          <w:sz w:val="32"/>
          <w:szCs w:val="32"/>
        </w:rPr>
        <w:t>（地域特征和产业特色项目）</w:t>
      </w:r>
    </w:p>
    <w:p w14:paraId="63165D16">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针对传统热还原法制备工艺复杂成本高，富余稀土钐高值化利用</w:t>
      </w:r>
      <w:r>
        <w:rPr>
          <w:rFonts w:hint="default" w:ascii="Times New Roman" w:hAnsi="Times New Roman" w:eastAsia="仿宋_GB2312" w:cs="Times New Roman"/>
          <w:color w:val="000000"/>
          <w:sz w:val="32"/>
          <w:szCs w:val="32"/>
          <w:lang w:val="en-US" w:eastAsia="zh-CN"/>
        </w:rPr>
        <w:t>等</w:t>
      </w:r>
      <w:r>
        <w:rPr>
          <w:rFonts w:hint="default" w:ascii="Times New Roman" w:hAnsi="Times New Roman" w:eastAsia="仿宋_GB2312" w:cs="Times New Roman"/>
          <w:color w:val="000000"/>
          <w:sz w:val="32"/>
          <w:szCs w:val="32"/>
        </w:rPr>
        <w:t>难题，研究熔盐电解制备技术中电解质体系的物理化学性质和Sm</w:t>
      </w:r>
      <w:r>
        <w:rPr>
          <w:rFonts w:hint="default" w:ascii="Times New Roman" w:hAnsi="Times New Roman" w:eastAsia="仿宋_GB2312" w:cs="Times New Roman"/>
          <w:color w:val="000000"/>
          <w:sz w:val="32"/>
          <w:szCs w:val="32"/>
          <w:vertAlign w:val="subscript"/>
        </w:rPr>
        <w:t>2</w:t>
      </w:r>
      <w:r>
        <w:rPr>
          <w:rFonts w:hint="default" w:ascii="Times New Roman" w:hAnsi="Times New Roman" w:eastAsia="仿宋_GB2312" w:cs="Times New Roman"/>
          <w:color w:val="000000"/>
          <w:sz w:val="32"/>
          <w:szCs w:val="32"/>
        </w:rPr>
        <w:t>O</w:t>
      </w:r>
      <w:r>
        <w:rPr>
          <w:rFonts w:hint="default" w:ascii="Times New Roman" w:hAnsi="Times New Roman" w:eastAsia="仿宋_GB2312" w:cs="Times New Roman"/>
          <w:color w:val="000000"/>
          <w:sz w:val="32"/>
          <w:szCs w:val="32"/>
          <w:vertAlign w:val="subscript"/>
        </w:rPr>
        <w:t>3</w:t>
      </w:r>
      <w:r>
        <w:rPr>
          <w:rFonts w:hint="default" w:ascii="Times New Roman" w:hAnsi="Times New Roman" w:eastAsia="仿宋_GB2312" w:cs="Times New Roman"/>
          <w:color w:val="000000"/>
          <w:sz w:val="32"/>
          <w:szCs w:val="32"/>
        </w:rPr>
        <w:t>溶解动力学、沉淀形成与溶解机制，建立成分与性质</w:t>
      </w:r>
      <w:r>
        <w:rPr>
          <w:rFonts w:hint="default" w:ascii="Times New Roman" w:hAnsi="Times New Roman" w:eastAsia="仿宋_GB2312" w:cs="Times New Roman"/>
          <w:color w:val="000000"/>
          <w:sz w:val="32"/>
          <w:szCs w:val="32"/>
          <w:lang w:val="en-US" w:eastAsia="zh-CN"/>
        </w:rPr>
        <w:t>关系</w:t>
      </w:r>
      <w:r>
        <w:rPr>
          <w:rFonts w:hint="default" w:ascii="Times New Roman" w:hAnsi="Times New Roman" w:eastAsia="仿宋_GB2312" w:cs="Times New Roman"/>
          <w:color w:val="000000"/>
          <w:sz w:val="32"/>
          <w:szCs w:val="32"/>
        </w:rPr>
        <w:t>的</w:t>
      </w:r>
      <w:r>
        <w:rPr>
          <w:rFonts w:hint="default" w:ascii="Times New Roman" w:hAnsi="Times New Roman" w:eastAsia="仿宋_GB2312" w:cs="Times New Roman"/>
          <w:color w:val="000000"/>
          <w:sz w:val="32"/>
          <w:szCs w:val="32"/>
          <w:lang w:val="en-US" w:eastAsia="zh-CN"/>
        </w:rPr>
        <w:t>物理</w:t>
      </w:r>
      <w:r>
        <w:rPr>
          <w:rFonts w:hint="default" w:ascii="Times New Roman" w:hAnsi="Times New Roman" w:eastAsia="仿宋_GB2312" w:cs="Times New Roman"/>
          <w:color w:val="000000"/>
          <w:sz w:val="32"/>
          <w:szCs w:val="32"/>
        </w:rPr>
        <w:t>模型，解析电解质体系的构效关系，明晰AlSm金属间化合物形核与生长演变规律，</w:t>
      </w:r>
      <w:r>
        <w:rPr>
          <w:rFonts w:hint="default" w:ascii="Times New Roman" w:hAnsi="Times New Roman" w:eastAsia="仿宋_GB2312" w:cs="Times New Roman"/>
          <w:color w:val="000000"/>
          <w:sz w:val="32"/>
          <w:szCs w:val="32"/>
          <w:lang w:val="en-US" w:eastAsia="zh-CN"/>
        </w:rPr>
        <w:t>研究</w:t>
      </w:r>
      <w:r>
        <w:rPr>
          <w:rFonts w:hint="default" w:ascii="Times New Roman" w:hAnsi="Times New Roman" w:eastAsia="仿宋_GB2312" w:cs="Times New Roman"/>
          <w:color w:val="000000"/>
          <w:sz w:val="32"/>
          <w:szCs w:val="32"/>
        </w:rPr>
        <w:t>变价稀土Sm高效析出与合金相形成调控机制，</w:t>
      </w:r>
      <w:r>
        <w:rPr>
          <w:rFonts w:hint="default" w:ascii="Times New Roman" w:hAnsi="Times New Roman" w:eastAsia="仿宋_GB2312" w:cs="Times New Roman"/>
          <w:color w:val="000000"/>
          <w:sz w:val="32"/>
          <w:szCs w:val="32"/>
          <w:lang w:val="en-US" w:eastAsia="zh-CN"/>
        </w:rPr>
        <w:t>探究</w:t>
      </w:r>
      <w:r>
        <w:rPr>
          <w:rFonts w:hint="default" w:ascii="Times New Roman" w:hAnsi="Times New Roman" w:eastAsia="仿宋_GB2312" w:cs="Times New Roman"/>
          <w:color w:val="000000"/>
          <w:sz w:val="32"/>
          <w:szCs w:val="32"/>
        </w:rPr>
        <w:t>铝诱导变价稀土钐电化学还原并合金化的协同作用机理和电解过程的能-质转化耗散规律。</w:t>
      </w:r>
    </w:p>
    <w:p w14:paraId="0FFE2CCF">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2</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离子型稀土母液中杂质铝离子靶向吸附材料构筑及机理研究（地域特征和产业特色项目）</w:t>
      </w:r>
    </w:p>
    <w:p w14:paraId="516BC9B6">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针对赣南离子型稀土浸出母液中杂质铝与稀土离子分离困难、易造成环境污染等问题，研究功能单体筛选、活性位点定向修饰及微观结构调控，解析</w:t>
      </w:r>
      <w:r>
        <w:rPr>
          <w:rFonts w:hint="default" w:ascii="Times New Roman" w:hAnsi="Times New Roman" w:eastAsia="仿宋_GB2312" w:cs="Times New Roman"/>
          <w:color w:val="000000"/>
          <w:sz w:val="32"/>
          <w:szCs w:val="32"/>
          <w:lang w:val="en-US" w:eastAsia="zh-CN"/>
        </w:rPr>
        <w:t>其与</w:t>
      </w:r>
      <w:r>
        <w:rPr>
          <w:rFonts w:hint="default" w:ascii="Times New Roman" w:hAnsi="Times New Roman" w:eastAsia="仿宋_GB2312" w:cs="Times New Roman"/>
          <w:color w:val="000000"/>
          <w:sz w:val="32"/>
          <w:szCs w:val="32"/>
        </w:rPr>
        <w:t>铝离子特异性作用、配位机制、空间位阻效应及竞争吸附行为，阐明“结构-性能”关系与吸附-脱附动力学规律，揭示其在高浓度复杂稀土</w:t>
      </w:r>
      <w:r>
        <w:rPr>
          <w:rFonts w:hint="default" w:ascii="Times New Roman" w:hAnsi="Times New Roman" w:eastAsia="仿宋_GB2312" w:cs="Times New Roman"/>
          <w:color w:val="000000"/>
          <w:sz w:val="32"/>
          <w:szCs w:val="32"/>
          <w:lang w:val="en-US" w:eastAsia="zh-CN"/>
        </w:rPr>
        <w:t>环境</w:t>
      </w:r>
      <w:r>
        <w:rPr>
          <w:rFonts w:hint="default" w:ascii="Times New Roman" w:hAnsi="Times New Roman" w:eastAsia="仿宋_GB2312" w:cs="Times New Roman"/>
          <w:color w:val="000000"/>
          <w:sz w:val="32"/>
          <w:szCs w:val="32"/>
        </w:rPr>
        <w:t>靶向分离机理；开发高选择性、高吸附容量、高稳定性、易再生的靶向吸附材料，构建母液杂质铝离子高效脱除一体化技术方案，为赣南离子型稀土资源清洁高效利用提供核心理论依据与技术支撑。</w:t>
      </w:r>
    </w:p>
    <w:p w14:paraId="18D92E58">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3</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矿用高丰度铈磁体同步磁阻电机转矩提升与可靠性</w:t>
      </w:r>
      <w:r>
        <w:rPr>
          <w:rFonts w:hint="default" w:ascii="Times New Roman" w:hAnsi="Times New Roman" w:eastAsia="仿宋_GB2312" w:cs="Times New Roman"/>
          <w:b/>
          <w:color w:val="000000"/>
          <w:kern w:val="0"/>
          <w:sz w:val="32"/>
          <w:szCs w:val="32"/>
          <w:lang w:val="en-US" w:eastAsia="zh-CN"/>
        </w:rPr>
        <w:t>研究</w:t>
      </w:r>
      <w:r>
        <w:rPr>
          <w:rFonts w:hint="default" w:ascii="Times New Roman" w:hAnsi="Times New Roman" w:eastAsia="仿宋_GB2312" w:cs="Times New Roman"/>
          <w:b/>
          <w:color w:val="000000"/>
          <w:kern w:val="0"/>
          <w:sz w:val="32"/>
          <w:szCs w:val="32"/>
        </w:rPr>
        <w:t>（地域特征和产业特色项目）</w:t>
      </w:r>
    </w:p>
    <w:p w14:paraId="2878938C">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矿业企业对装备绿色化智能化的共性需求，开展铈磁体同步磁阻电机转矩提升和可靠性能关键技术研究。研究高温高湿粉尘环境下定子绕组老化和绝缘性能机理，优化电感和磁链参数漂移。研究电机重载和宽速工况下铈磁体和铁氧体混合磁障转子电磁行为、转矩提升机理、永磁体退磁和铁心载荷可靠性。研究电机参数在线辨识技术和自适应模型预测抗干扰智能控制算法，快速响应转速和负载调节需求。实现</w:t>
      </w:r>
      <w:r>
        <w:rPr>
          <w:rFonts w:hint="default" w:ascii="Times New Roman" w:hAnsi="Times New Roman" w:eastAsia="仿宋_GB2312" w:cs="Times New Roman"/>
          <w:color w:val="000000"/>
          <w:sz w:val="32"/>
          <w:szCs w:val="32"/>
          <w:lang w:val="en-US" w:eastAsia="zh-CN"/>
        </w:rPr>
        <w:t>高丰度</w:t>
      </w:r>
      <w:r>
        <w:rPr>
          <w:rFonts w:hint="default" w:ascii="Times New Roman" w:hAnsi="Times New Roman" w:eastAsia="仿宋_GB2312" w:cs="Times New Roman"/>
          <w:color w:val="000000"/>
          <w:sz w:val="32"/>
          <w:szCs w:val="32"/>
        </w:rPr>
        <w:t>稀土资源平衡利用，提升电机可靠性能。</w:t>
      </w:r>
    </w:p>
    <w:p w14:paraId="783433F9">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4</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稀土氧化物强化镍基高温合金涂层及其抗</w:t>
      </w:r>
      <w:r>
        <w:rPr>
          <w:rFonts w:hint="default" w:ascii="Times New Roman" w:hAnsi="Times New Roman" w:eastAsia="仿宋_GB2312" w:cs="Times New Roman"/>
          <w:b/>
          <w:color w:val="000000"/>
          <w:kern w:val="0"/>
          <w:sz w:val="32"/>
          <w:szCs w:val="32"/>
          <w:lang w:val="en-US" w:eastAsia="zh-CN"/>
        </w:rPr>
        <w:t>超临界</w:t>
      </w:r>
      <w:r>
        <w:rPr>
          <w:rFonts w:hint="default" w:ascii="Times New Roman" w:hAnsi="Times New Roman" w:eastAsia="仿宋_GB2312" w:cs="Times New Roman"/>
          <w:b/>
          <w:color w:val="000000"/>
          <w:kern w:val="0"/>
          <w:sz w:val="32"/>
          <w:szCs w:val="32"/>
        </w:rPr>
        <w:t>CO</w:t>
      </w:r>
      <w:r>
        <w:rPr>
          <w:rFonts w:hint="default" w:ascii="Times New Roman" w:hAnsi="Times New Roman" w:eastAsia="仿宋_GB2312" w:cs="Times New Roman"/>
          <w:b/>
          <w:color w:val="000000"/>
          <w:kern w:val="0"/>
          <w:sz w:val="32"/>
          <w:szCs w:val="32"/>
          <w:vertAlign w:val="subscript"/>
        </w:rPr>
        <w:t>2</w:t>
      </w:r>
      <w:r>
        <w:rPr>
          <w:rFonts w:hint="default" w:ascii="Times New Roman" w:hAnsi="Times New Roman" w:eastAsia="仿宋_GB2312" w:cs="Times New Roman"/>
          <w:b/>
          <w:color w:val="000000"/>
          <w:kern w:val="0"/>
          <w:sz w:val="32"/>
          <w:szCs w:val="32"/>
        </w:rPr>
        <w:t>冲刷腐蚀机理研究（地域特征和产业特色项目）</w:t>
      </w:r>
    </w:p>
    <w:p w14:paraId="60A721B2">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超临界二氧化碳发电系统关键热端部件的冲刷腐蚀问题，开展稀土氧化物强化镍基高温合金涂层设计、制备及耐蚀机理研究，揭示稀土氧化物对涂层微观结构及动态腐蚀行为的影响规律，阐明其对涂层氧化-渗碳耦合腐蚀的抑制机制，开发新型稀土氧化物强化镍基高温合金涂层材料及先进涂层技术，为先进能源系统用高性能防护材料设计提供</w:t>
      </w:r>
      <w:r>
        <w:rPr>
          <w:rFonts w:hint="default" w:ascii="Times New Roman" w:hAnsi="Times New Roman" w:eastAsia="仿宋_GB2312" w:cs="Times New Roman"/>
          <w:color w:val="000000"/>
          <w:sz w:val="32"/>
          <w:szCs w:val="32"/>
          <w:lang w:val="en-US" w:eastAsia="zh-CN"/>
        </w:rPr>
        <w:t>技术</w:t>
      </w:r>
      <w:r>
        <w:rPr>
          <w:rFonts w:hint="default" w:ascii="Times New Roman" w:hAnsi="Times New Roman" w:eastAsia="仿宋_GB2312" w:cs="Times New Roman"/>
          <w:color w:val="000000"/>
          <w:sz w:val="32"/>
          <w:szCs w:val="32"/>
        </w:rPr>
        <w:t>支撑。</w:t>
      </w:r>
    </w:p>
    <w:p w14:paraId="10732D81">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5</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高</w:t>
      </w:r>
      <w:r>
        <w:rPr>
          <w:rFonts w:hint="default" w:ascii="Times New Roman" w:hAnsi="Times New Roman" w:eastAsia="仿宋_GB2312" w:cs="Times New Roman"/>
          <w:b/>
          <w:color w:val="000000"/>
          <w:kern w:val="0"/>
          <w:sz w:val="32"/>
          <w:szCs w:val="32"/>
          <w:lang w:val="en-US" w:eastAsia="zh-CN"/>
        </w:rPr>
        <w:t>含量</w:t>
      </w:r>
      <w:r>
        <w:rPr>
          <w:rFonts w:hint="default" w:ascii="Times New Roman" w:hAnsi="Times New Roman" w:eastAsia="仿宋_GB2312" w:cs="Times New Roman"/>
          <w:b/>
          <w:color w:val="000000"/>
          <w:kern w:val="0"/>
          <w:sz w:val="32"/>
          <w:szCs w:val="32"/>
        </w:rPr>
        <w:t>Cr</w:t>
      </w:r>
      <w:r>
        <w:rPr>
          <w:rFonts w:hint="default" w:ascii="Times New Roman" w:hAnsi="Times New Roman" w:eastAsia="仿宋_GB2312" w:cs="Times New Roman"/>
          <w:b/>
          <w:color w:val="000000"/>
          <w:kern w:val="0"/>
          <w:sz w:val="32"/>
          <w:szCs w:val="32"/>
          <w:vertAlign w:val="subscript"/>
        </w:rPr>
        <w:t>3</w:t>
      </w:r>
      <w:r>
        <w:rPr>
          <w:rFonts w:hint="default" w:ascii="Times New Roman" w:hAnsi="Times New Roman" w:eastAsia="仿宋_GB2312" w:cs="Times New Roman"/>
          <w:b/>
          <w:color w:val="000000"/>
          <w:kern w:val="0"/>
          <w:sz w:val="32"/>
          <w:szCs w:val="32"/>
        </w:rPr>
        <w:t>C</w:t>
      </w:r>
      <w:r>
        <w:rPr>
          <w:rFonts w:hint="default" w:ascii="Times New Roman" w:hAnsi="Times New Roman" w:eastAsia="仿宋_GB2312" w:cs="Times New Roman"/>
          <w:b/>
          <w:color w:val="000000"/>
          <w:kern w:val="0"/>
          <w:sz w:val="32"/>
          <w:szCs w:val="32"/>
          <w:vertAlign w:val="subscript"/>
        </w:rPr>
        <w:t>2</w:t>
      </w:r>
      <w:r>
        <w:rPr>
          <w:rFonts w:hint="default" w:ascii="Times New Roman" w:hAnsi="Times New Roman" w:eastAsia="仿宋_GB2312" w:cs="Times New Roman"/>
          <w:b/>
          <w:color w:val="000000"/>
          <w:kern w:val="0"/>
          <w:sz w:val="32"/>
          <w:szCs w:val="32"/>
        </w:rPr>
        <w:t>硬质合金热-力耦合损伤机理与结构性能调控研究（地域特征和产业特色项目）</w:t>
      </w:r>
    </w:p>
    <w:p w14:paraId="02F90D1C">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针对硬质合金刀具在难加工金属切削过程中的损伤失效问题，开展高</w:t>
      </w:r>
      <w:r>
        <w:rPr>
          <w:rFonts w:hint="default" w:ascii="Times New Roman" w:hAnsi="Times New Roman" w:eastAsia="仿宋_GB2312" w:cs="Times New Roman"/>
          <w:color w:val="000000"/>
          <w:sz w:val="32"/>
          <w:szCs w:val="32"/>
          <w:lang w:val="en-US" w:eastAsia="zh-CN"/>
        </w:rPr>
        <w:t>含量</w:t>
      </w:r>
      <w:r>
        <w:rPr>
          <w:rFonts w:hint="default" w:ascii="Times New Roman" w:hAnsi="Times New Roman" w:eastAsia="仿宋_GB2312" w:cs="Times New Roman"/>
          <w:color w:val="000000"/>
          <w:sz w:val="32"/>
          <w:szCs w:val="32"/>
        </w:rPr>
        <w:t>Cr₃C₂超细晶硬质合金结构设计</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性能调控</w:t>
      </w:r>
      <w:r>
        <w:rPr>
          <w:rFonts w:hint="default" w:ascii="Times New Roman" w:hAnsi="Times New Roman" w:eastAsia="仿宋_GB2312" w:cs="Times New Roman"/>
          <w:color w:val="000000"/>
          <w:sz w:val="32"/>
          <w:szCs w:val="32"/>
          <w:lang w:val="en-US" w:eastAsia="zh-CN"/>
        </w:rPr>
        <w:t>与</w:t>
      </w:r>
      <w:r>
        <w:rPr>
          <w:rFonts w:hint="default" w:ascii="Times New Roman" w:hAnsi="Times New Roman" w:eastAsia="仿宋_GB2312" w:cs="Times New Roman"/>
          <w:color w:val="000000"/>
          <w:sz w:val="32"/>
          <w:szCs w:val="32"/>
        </w:rPr>
        <w:t>热-力耦合损伤机理研究，基于多尺度理论计算与实验表征，揭示其在高温、磨损、氧化等多因素耦合环境下的</w:t>
      </w:r>
      <w:r>
        <w:rPr>
          <w:rFonts w:hint="default" w:ascii="Times New Roman" w:hAnsi="Times New Roman" w:eastAsia="仿宋_GB2312" w:cs="Times New Roman"/>
          <w:color w:val="000000"/>
          <w:sz w:val="32"/>
          <w:szCs w:val="32"/>
          <w:lang w:val="en-US" w:eastAsia="zh-CN"/>
        </w:rPr>
        <w:t>微观理化行为演变</w:t>
      </w:r>
      <w:r>
        <w:rPr>
          <w:rFonts w:hint="default" w:ascii="Times New Roman" w:hAnsi="Times New Roman" w:eastAsia="仿宋_GB2312" w:cs="Times New Roman"/>
          <w:color w:val="000000"/>
          <w:sz w:val="32"/>
          <w:szCs w:val="32"/>
        </w:rPr>
        <w:t>规律与损伤机理，通过精准调控WC陶瓷相的溶解析出进程，建立材料成分-结构-服役性能间的</w:t>
      </w:r>
      <w:r>
        <w:rPr>
          <w:rFonts w:hint="default" w:ascii="Times New Roman" w:hAnsi="Times New Roman" w:eastAsia="仿宋_GB2312" w:cs="Times New Roman"/>
          <w:color w:val="000000"/>
          <w:sz w:val="32"/>
          <w:szCs w:val="32"/>
          <w:lang w:val="en-US" w:eastAsia="zh-CN"/>
        </w:rPr>
        <w:t>关联度</w:t>
      </w:r>
      <w:r>
        <w:rPr>
          <w:rFonts w:hint="default" w:ascii="Times New Roman" w:hAnsi="Times New Roman" w:eastAsia="仿宋_GB2312" w:cs="Times New Roman"/>
          <w:color w:val="000000"/>
          <w:sz w:val="32"/>
          <w:szCs w:val="32"/>
        </w:rPr>
        <w:t>映射关系，实现超细晶硬质合金硬韧一体化设计与可控制备。</w:t>
      </w:r>
    </w:p>
    <w:p w14:paraId="72E4F2C2">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6</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超高碱环境钨冶炼中氟、磷、砷源头靶向固化应用基础研究（地域特征和产业特色项目）</w:t>
      </w:r>
    </w:p>
    <w:p w14:paraId="5DC6E7D4">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针对低品位黑白混合钨矿</w:t>
      </w:r>
      <w:r>
        <w:rPr>
          <w:rFonts w:hint="default" w:ascii="Times New Roman" w:hAnsi="Times New Roman" w:eastAsia="仿宋_GB2312" w:cs="Times New Roman"/>
          <w:color w:val="000000"/>
          <w:sz w:val="32"/>
          <w:szCs w:val="32"/>
          <w:lang w:val="en-US" w:eastAsia="zh-CN"/>
        </w:rPr>
        <w:t>超高</w:t>
      </w:r>
      <w:r>
        <w:rPr>
          <w:rFonts w:hint="default" w:ascii="Times New Roman" w:hAnsi="Times New Roman" w:eastAsia="仿宋_GB2312" w:cs="Times New Roman"/>
          <w:color w:val="000000"/>
          <w:sz w:val="32"/>
          <w:szCs w:val="32"/>
        </w:rPr>
        <w:t>碱热压分解过程氟、磷、砷同步溶出的难题，研究超高碱环境氟、磷、砷的迁移行为，设计</w:t>
      </w:r>
      <w:r>
        <w:rPr>
          <w:rFonts w:hint="default" w:ascii="Times New Roman" w:hAnsi="Times New Roman" w:eastAsia="仿宋_GB2312" w:cs="Times New Roman"/>
          <w:color w:val="000000"/>
          <w:sz w:val="32"/>
          <w:szCs w:val="32"/>
          <w:lang w:val="en-US" w:eastAsia="zh-CN"/>
        </w:rPr>
        <w:t>并</w:t>
      </w:r>
      <w:r>
        <w:rPr>
          <w:rFonts w:hint="default" w:ascii="Times New Roman" w:hAnsi="Times New Roman" w:eastAsia="仿宋_GB2312" w:cs="Times New Roman"/>
          <w:color w:val="000000"/>
          <w:sz w:val="32"/>
          <w:szCs w:val="32"/>
        </w:rPr>
        <w:t>遴选新型靶向固化剂，揭示新体系下氟、磷、砷的形态演变规律，构建靶向固化剂-氟</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磷</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砷</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氢氧化钠的动态溶解平衡模型，阐明氟、磷、砷靶向深度固化的调控机理，建立超高碱环境氟、磷、砷源头靶向固化应用</w:t>
      </w:r>
      <w:r>
        <w:rPr>
          <w:rFonts w:hint="default" w:ascii="Times New Roman" w:hAnsi="Times New Roman" w:eastAsia="仿宋_GB2312" w:cs="Times New Roman"/>
          <w:color w:val="000000"/>
          <w:sz w:val="32"/>
          <w:szCs w:val="32"/>
          <w:lang w:val="en-US" w:eastAsia="zh-CN"/>
        </w:rPr>
        <w:t>模型</w:t>
      </w:r>
      <w:r>
        <w:rPr>
          <w:rFonts w:hint="default" w:ascii="Times New Roman" w:hAnsi="Times New Roman" w:eastAsia="仿宋_GB2312" w:cs="Times New Roman"/>
          <w:color w:val="000000"/>
          <w:sz w:val="32"/>
          <w:szCs w:val="32"/>
        </w:rPr>
        <w:t>，为低品位黑白混合钨矿的绿色冶炼开拓新路径。</w:t>
      </w:r>
    </w:p>
    <w:p w14:paraId="786A82B6">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7</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高性能稀土镁合金增材制造及形性调控应用基础研究（地域特征和产业特色项目）</w:t>
      </w:r>
    </w:p>
    <w:p w14:paraId="0A1522CD">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面向航空航天、高端装备领域大型复杂构件轻量化、一体化制造的迫切需求，开展高性能稀土镁合金设计与复杂构件增材制造技术研究，突破增材制造用稀土镁合金成分设计、原料制备、复杂构件增材制造中的形性协同调控等关键共性技术，阐明多尺度第二相演变规律，揭示异质结构形成机制与协同强韧化机理，建立工艺-组织-性能调控关系，为航空航天、高端装备轻量化提供高性能稀土镁合金材料及一体化成形技术提供</w:t>
      </w:r>
      <w:r>
        <w:rPr>
          <w:rFonts w:hint="default" w:ascii="Times New Roman" w:hAnsi="Times New Roman" w:eastAsia="仿宋_GB2312" w:cs="Times New Roman"/>
          <w:color w:val="000000"/>
          <w:sz w:val="32"/>
          <w:szCs w:val="32"/>
          <w:lang w:val="en-US" w:eastAsia="zh-CN"/>
        </w:rPr>
        <w:t>技术</w:t>
      </w:r>
      <w:r>
        <w:rPr>
          <w:rFonts w:hint="default" w:ascii="Times New Roman" w:hAnsi="Times New Roman" w:eastAsia="仿宋_GB2312" w:cs="Times New Roman"/>
          <w:color w:val="000000"/>
          <w:sz w:val="32"/>
          <w:szCs w:val="32"/>
        </w:rPr>
        <w:t>支撑。</w:t>
      </w:r>
    </w:p>
    <w:p w14:paraId="589D2B5B">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2．</w:t>
      </w:r>
      <w:r>
        <w:rPr>
          <w:rFonts w:hint="default" w:ascii="Times New Roman" w:hAnsi="Times New Roman" w:eastAsia="仿宋_GB2312" w:cs="Times New Roman"/>
          <w:b/>
          <w:bCs/>
          <w:sz w:val="32"/>
          <w:szCs w:val="32"/>
          <w:u w:val="none"/>
        </w:rPr>
        <w:t>电子信息领域</w:t>
      </w:r>
    </w:p>
    <w:p w14:paraId="022B0EA5">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1</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物理与数据协同驱动的赣南矿区地下三维电导率智能反演理论与关键技术研究（地域特征和产业特色项目）</w:t>
      </w:r>
    </w:p>
    <w:p w14:paraId="19C046FE">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针对赣南地区离子型稀土等有色金属矿山深部勘探环境复杂，多解性强且难以精准定位深部隐伏矿体等问题，利用“物理+数据”联合驱动策略，研究基于</w:t>
      </w:r>
      <w:r>
        <w:rPr>
          <w:rFonts w:hint="default" w:ascii="Times New Roman" w:hAnsi="Times New Roman" w:eastAsia="仿宋_GB2312" w:cs="Times New Roman"/>
          <w:color w:val="000000"/>
          <w:sz w:val="32"/>
          <w:szCs w:val="32"/>
          <w:lang w:val="en-US" w:eastAsia="zh-CN"/>
        </w:rPr>
        <w:t>深度学习</w:t>
      </w:r>
      <w:r>
        <w:rPr>
          <w:rFonts w:hint="default" w:ascii="Times New Roman" w:hAnsi="Times New Roman" w:eastAsia="仿宋_GB2312" w:cs="Times New Roman"/>
          <w:color w:val="000000"/>
          <w:sz w:val="32"/>
          <w:szCs w:val="32"/>
        </w:rPr>
        <w:t>的新一代地下电导率智能正反演成像方法，突破传统地下电导率正反演成像方法计算效率低，精度低等技术瓶颈；探索物理机理与数据驱动深度融合的地下电导率智能正反演成像理论，揭示多尺度地质体、地表电磁响应与地下三维电导率分布间的非线性映射机制；构建抗干扰的地下电导率反演成像模型，实现对浅部含矿风化壳、深部隐伏岩脉及控矿构造的快速、高分辨三维透明化CT成像，为赣南地区战略性矿产资源的增储保供提供核心技术支撑。</w:t>
      </w:r>
    </w:p>
    <w:p w14:paraId="4023AF8C">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2</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赣南摩崖石刻残缺文本的数字修复模型研究（地域特征和产业特色项目）</w:t>
      </w:r>
    </w:p>
    <w:p w14:paraId="00066D9B">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丹霞岩体自然风化致文本残缺、刻痕模糊，传统人工修复不可逆、通用数字修复模型无法适配客家书法风格与丹霞岩体风化特征等问题，构建赣南客家石刻多模态数据集、融合Transformer古汉语语义预测与CycleGAN书法风格迁移的多模态数字修复模型，建立「视觉-语义-历史-岩体」四维度评估体系，解决古汉语语义精准补全、客家书法风格细粒度迁移、丹霞岩体风化点云量化模拟等技术瓶颈，形成赣州特色的摩崖石刻数字修复</w:t>
      </w:r>
      <w:r>
        <w:rPr>
          <w:rFonts w:hint="default" w:ascii="Times New Roman" w:hAnsi="Times New Roman" w:eastAsia="仿宋_GB2312" w:cs="Times New Roman"/>
          <w:color w:val="000000"/>
          <w:sz w:val="32"/>
          <w:szCs w:val="32"/>
          <w:lang w:val="en-US" w:eastAsia="zh-CN"/>
        </w:rPr>
        <w:t>系统</w:t>
      </w:r>
      <w:r>
        <w:rPr>
          <w:rFonts w:hint="default" w:ascii="Times New Roman" w:hAnsi="Times New Roman" w:eastAsia="仿宋_GB2312" w:cs="Times New Roman"/>
          <w:color w:val="000000"/>
          <w:sz w:val="32"/>
          <w:szCs w:val="32"/>
        </w:rPr>
        <w:t>，助力赣南苏区文化遗产数字化保护与文旅融合发展。</w:t>
      </w:r>
    </w:p>
    <w:p w14:paraId="3B74EAEC">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3</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南康家具集群零碳园区强化学习协同控制研究（地域特征和产业特色项目）</w:t>
      </w:r>
    </w:p>
    <w:p w14:paraId="18D34AE2">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赣州南康家具产业集群高能耗、柔性负荷波动大的痛点，研究零碳园区强化学习协同控制，构建含风光预测、储能充放电动态机理、柔性负荷响应特性的全链条数学模型，量化耦合关联强度与不确定性边界；适配分钟级功率平衡、小时级调度优化、日级资源配置需求，设计深度强化学习自适应控制策略，提升抗干扰能力与响应速度；研究电化学储能与虚拟储能协同调度方法，建立多目标优化模型，实现能源利用效率、系统稳定性与减排效益动态平衡，形成适配赣州格局的协同控制体系。</w:t>
      </w:r>
    </w:p>
    <w:p w14:paraId="5E1F342F">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4</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面向AI高算力需求的关键材料与高速印制电路板关键技术研究（地域特征和产业特色项目）</w:t>
      </w:r>
    </w:p>
    <w:p w14:paraId="235803F1">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AI算力对印制电路信号传输极高速、低损耗的重大需求，立足赣州铜基材料与电路板产业特色，研究低介电损耗树脂分子结构设计，突破HVLP铜箔极低轮廓结构设计与界面化学结合增强技术，解决低粗糙度下剥离强度</w:t>
      </w:r>
      <w:r>
        <w:rPr>
          <w:rFonts w:hint="default" w:ascii="Times New Roman" w:hAnsi="Times New Roman" w:eastAsia="仿宋_GB2312" w:cs="Times New Roman"/>
          <w:color w:val="000000"/>
          <w:sz w:val="32"/>
          <w:szCs w:val="32"/>
          <w:lang w:val="en-US" w:eastAsia="zh-CN"/>
        </w:rPr>
        <w:t>量化指标</w:t>
      </w:r>
      <w:r>
        <w:rPr>
          <w:rFonts w:hint="default" w:ascii="Times New Roman" w:hAnsi="Times New Roman" w:eastAsia="仿宋_GB2312" w:cs="Times New Roman"/>
          <w:color w:val="000000"/>
          <w:sz w:val="32"/>
          <w:szCs w:val="32"/>
        </w:rPr>
        <w:t>难题；阐明高速材料微孔光烧蚀机理，攻克微孔成形与控形、等离子体去钻污及阻抗精确控制等制造工艺；分析先进信号处理算法与高频硬件电路设计，建立材料—板级—信号一体化融合创新的评价与检测体系；解决AI算力高速信号传输完整性涉及的关键材料与电路板制作等科学问题。</w:t>
      </w:r>
    </w:p>
    <w:p w14:paraId="6D0E0E76">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3．</w:t>
      </w:r>
      <w:r>
        <w:rPr>
          <w:rFonts w:hint="default" w:ascii="Times New Roman" w:hAnsi="Times New Roman" w:eastAsia="仿宋_GB2312" w:cs="Times New Roman"/>
          <w:b/>
          <w:bCs/>
          <w:sz w:val="32"/>
          <w:szCs w:val="32"/>
          <w:u w:val="none"/>
        </w:rPr>
        <w:t>新材料</w:t>
      </w:r>
      <w:r>
        <w:rPr>
          <w:rFonts w:hint="default" w:ascii="Times New Roman" w:hAnsi="Times New Roman" w:eastAsia="仿宋_GB2312" w:cs="Times New Roman"/>
          <w:b/>
          <w:bCs/>
          <w:sz w:val="32"/>
          <w:szCs w:val="32"/>
          <w:u w:val="none"/>
          <w:lang w:eastAsia="zh-CN"/>
        </w:rPr>
        <w:t>与</w:t>
      </w:r>
      <w:r>
        <w:rPr>
          <w:rFonts w:hint="default" w:ascii="Times New Roman" w:hAnsi="Times New Roman" w:eastAsia="仿宋_GB2312" w:cs="Times New Roman"/>
          <w:b/>
          <w:bCs/>
          <w:sz w:val="32"/>
          <w:szCs w:val="32"/>
          <w:u w:val="none"/>
        </w:rPr>
        <w:t>装备制造领域</w:t>
      </w:r>
    </w:p>
    <w:p w14:paraId="183C045A">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1</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固态电池电解质/电极界面研究（地域特征和产业特色项目）</w:t>
      </w:r>
    </w:p>
    <w:p w14:paraId="1569DAC4">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固态电池是破解传统锂离子电池安全与能量密度瓶颈的核心技术，而电解质/电极界面阻抗高、副反应突出是其产业化应用面临的瓶颈问题，界面调控成为技术突破的核心抓手，开展电解质/电极界面物理化学研究，研发改性界面材料，优化界面接触与离子传输，构建稳定钝化界面，抑制界面副反应。阐明界面阻抗演变及稳定性调控机制，形成适配硫化物或卤化物等体系的界面调控策略，破解固态电池循环失效难题，支撑固态电池技术突破，推动赣州锂电产业升级。</w:t>
      </w:r>
    </w:p>
    <w:p w14:paraId="2ABD0AD1">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2</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高能量密度锰基正极材料研究（地域特征和产业特色项目）</w:t>
      </w:r>
    </w:p>
    <w:p w14:paraId="5FC5187A">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锰基正极材料存在的电导率低、结构不稳定和锰溶解导致的倍率性能和循环稳定性差等问题，开展锰基正极材料制备方法和合成化学研究，调控材料的尺寸、形貌和微结构；探究锰溶解机理和迁移机制，研究体相掺杂和表面改性方法，调控材料体相及表面结构，强化锰基正极材料/电解液界面稳定性，实现体相-表界面协同增强，研制高能量密度锰基正极材料，推动其在新一代高能量密度锂离子电池中的应用，促进电动汽车和储能领域向长续航、低成本方向发展。</w:t>
      </w:r>
    </w:p>
    <w:p w14:paraId="3DF6ECBA">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3</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生物基高分子复合材料的多尺度结构与性能调控研究（地域特征和产业特色项目）</w:t>
      </w:r>
    </w:p>
    <w:p w14:paraId="5D98500E">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为突破生物基高分子复合材料的性能瓶颈和拓展其在高端环保包装、一次性医用制品、3D打印耗材等高附加值领域的应用，开展生物基高分子复合材料的多尺度结构与性能研究，系统研究多组分复合体系的复合效应、多尺度相形态及结构，阐明多组分复合效应对材料多尺度结构特性、力学性能、热学性能和光学性能等的调控机制，建立微观多尺度结构与宏观性能及功能的构效关系，为设计高性能生物基薄膜材料提供理论依据，推动其在薄膜和包装等高附加值领域的应用。</w:t>
      </w:r>
    </w:p>
    <w:p w14:paraId="47047423">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4</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低栅氧缺陷碳化硅制备与性能研究（地域特征和产业特色项目）</w:t>
      </w:r>
    </w:p>
    <w:p w14:paraId="43654E68">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碳化硅与硅的差异，栅氧热氧化过程中会形成碳簇、悬挂键、空位等缺陷，从而导致阈值电压的不稳定。针对这一栅氧缺陷问题，研究低栅氧缺陷碳化硅制备过程和探究缺陷形成演化行为，进行钝化预测研究。通过采用第一性原理研究缺陷形成、演化及钝化机理，提出低栅氧缺陷模型，攻克低栅氧缺陷工艺，实现高质量碳化硅制备，为打通基础研究到工艺实现再到器件性能优化提供支撑，极大缩短研发周期，为赣州碳化硅芯片产业化奠定基础。</w:t>
      </w:r>
    </w:p>
    <w:p w14:paraId="08498244">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5</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矿物磁选分离新机理研究（地域特征和产业特色项目）</w:t>
      </w:r>
    </w:p>
    <w:p w14:paraId="4FB08100">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针对矿物加工领域中弱磁性及非磁性矿物因颗粒粘连导致分离效率低的技术瓶颈，研究磁选装备分离新原理，阐明磁选过程中强磁性、弱磁性及非磁性矿物的分离规律，解析主动振动参数（频率、振幅、加速度）</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水流场</w:t>
      </w:r>
      <w:r>
        <w:rPr>
          <w:rFonts w:hint="default" w:ascii="Times New Roman" w:hAnsi="Times New Roman" w:eastAsia="仿宋_GB2312" w:cs="Times New Roman"/>
          <w:color w:val="000000"/>
          <w:sz w:val="32"/>
          <w:szCs w:val="32"/>
        </w:rPr>
        <w:t>与粘连矿物分离效应的关系。通过多场耦合振动分离理论建模与实验验证，揭示多场耦合作用下矿物颗粒粘连行为的动态演变规律，为新型磁选装备研发提供高效分离新原理与技术支撑。</w:t>
      </w:r>
    </w:p>
    <w:p w14:paraId="36513D40">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4．</w:t>
      </w:r>
      <w:r>
        <w:rPr>
          <w:rFonts w:hint="default" w:ascii="Times New Roman" w:hAnsi="Times New Roman" w:eastAsia="仿宋_GB2312" w:cs="Times New Roman"/>
          <w:b/>
          <w:bCs/>
          <w:sz w:val="32"/>
          <w:szCs w:val="32"/>
          <w:u w:val="none"/>
        </w:rPr>
        <w:t>农业领域</w:t>
      </w:r>
    </w:p>
    <w:p w14:paraId="14A45117">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1</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柑橘黄龙病防控功能菌鉴定及其纳米靶向递送研究（地域特征和产业特色项目）</w:t>
      </w:r>
    </w:p>
    <w:p w14:paraId="5603F4D0">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柑橘黄龙病可防不可治的难题，基于不同感病（耐病）程度的柑橘种质资源，筛选、鉴定对柑橘黄龙病具有高效防治效果的功能菌株，解析耐病种质招募功能菌定殖的主效基因，明确功能菌拮抗黄龙病菌和激活宿主免疫的机制，进一步构建纳米靶向递送系统，增强对黄龙病的防控效果，为耐病种质创制和黄龙病防控提供创新思路。</w:t>
      </w:r>
    </w:p>
    <w:p w14:paraId="36AB3D18">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2</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赣南脐橙果梗精准识别、定位与剪切策略研究（地域特征和产业特色项目）</w:t>
      </w:r>
    </w:p>
    <w:p w14:paraId="613705ED">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针对赣南脐橙产业</w:t>
      </w:r>
      <w:r>
        <w:rPr>
          <w:rFonts w:hint="default" w:ascii="Times New Roman" w:hAnsi="Times New Roman" w:eastAsia="仿宋_GB2312" w:cs="Times New Roman"/>
          <w:color w:val="000000"/>
          <w:sz w:val="32"/>
          <w:szCs w:val="32"/>
          <w:lang w:val="en-US" w:eastAsia="zh-CN"/>
        </w:rPr>
        <w:t>因</w:t>
      </w:r>
      <w:r>
        <w:rPr>
          <w:rFonts w:hint="default" w:ascii="Times New Roman" w:hAnsi="Times New Roman" w:eastAsia="仿宋_GB2312" w:cs="Times New Roman"/>
          <w:color w:val="000000"/>
          <w:sz w:val="32"/>
          <w:szCs w:val="32"/>
        </w:rPr>
        <w:t>劳动力短缺</w:t>
      </w:r>
      <w:r>
        <w:rPr>
          <w:rFonts w:hint="default" w:ascii="Times New Roman" w:hAnsi="Times New Roman" w:eastAsia="仿宋_GB2312" w:cs="Times New Roman"/>
          <w:color w:val="000000"/>
          <w:sz w:val="32"/>
          <w:szCs w:val="32"/>
          <w:lang w:val="en-US" w:eastAsia="zh-CN"/>
        </w:rPr>
        <w:t>导致的</w:t>
      </w:r>
      <w:r>
        <w:rPr>
          <w:rFonts w:hint="default" w:ascii="Times New Roman" w:hAnsi="Times New Roman" w:eastAsia="仿宋_GB2312" w:cs="Times New Roman"/>
          <w:color w:val="000000"/>
          <w:sz w:val="32"/>
          <w:szCs w:val="32"/>
        </w:rPr>
        <w:t>采收成本高等</w:t>
      </w:r>
      <w:r>
        <w:rPr>
          <w:rFonts w:hint="default" w:ascii="Times New Roman" w:hAnsi="Times New Roman" w:eastAsia="仿宋_GB2312" w:cs="Times New Roman"/>
          <w:color w:val="000000"/>
          <w:sz w:val="32"/>
          <w:szCs w:val="32"/>
          <w:lang w:val="en-US" w:eastAsia="zh-CN"/>
        </w:rPr>
        <w:t>生产瓶颈</w:t>
      </w:r>
      <w:r>
        <w:rPr>
          <w:rFonts w:hint="default" w:ascii="Times New Roman" w:hAnsi="Times New Roman" w:eastAsia="仿宋_GB2312" w:cs="Times New Roman"/>
          <w:color w:val="000000"/>
          <w:sz w:val="32"/>
          <w:szCs w:val="32"/>
        </w:rPr>
        <w:t>，在脐橙规范化果园生产场景，研发推广集成视觉识别与精准作业的自动化采收机器人。重点突破果实识别、果梗定位、精准抓取与果梗剪切、柔性分离等关键技术，</w:t>
      </w:r>
      <w:r>
        <w:rPr>
          <w:rFonts w:hint="default" w:ascii="Times New Roman" w:hAnsi="Times New Roman" w:eastAsia="仿宋_GB2312" w:cs="Times New Roman"/>
          <w:color w:val="000000"/>
          <w:sz w:val="32"/>
          <w:szCs w:val="32"/>
          <w:lang w:val="en-US" w:eastAsia="zh-CN"/>
        </w:rPr>
        <w:t>明确视觉识别与精准剪切的关键参数，</w:t>
      </w:r>
      <w:r>
        <w:rPr>
          <w:rFonts w:hint="default" w:ascii="Times New Roman" w:hAnsi="Times New Roman" w:eastAsia="仿宋_GB2312" w:cs="Times New Roman"/>
          <w:color w:val="000000"/>
          <w:sz w:val="32"/>
          <w:szCs w:val="32"/>
        </w:rPr>
        <w:t>提升脐橙产业智能化采收水平。</w:t>
      </w:r>
    </w:p>
    <w:p w14:paraId="5638F790">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3</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脐橙内部缺陷近红外光谱响应规律及特征提取研究（地域特征和产业特色项目）</w:t>
      </w:r>
    </w:p>
    <w:p w14:paraId="05F5CA30">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针对脐橙枯水、腐烂等</w:t>
      </w:r>
      <w:r>
        <w:rPr>
          <w:rFonts w:hint="default" w:ascii="Times New Roman" w:hAnsi="Times New Roman" w:eastAsia="仿宋_GB2312" w:cs="Times New Roman"/>
          <w:color w:val="000000"/>
          <w:sz w:val="32"/>
          <w:szCs w:val="32"/>
          <w:lang w:val="en-US" w:eastAsia="zh-CN"/>
        </w:rPr>
        <w:t>内部</w:t>
      </w:r>
      <w:r>
        <w:rPr>
          <w:rFonts w:hint="default" w:ascii="Times New Roman" w:hAnsi="Times New Roman" w:eastAsia="仿宋_GB2312" w:cs="Times New Roman"/>
          <w:color w:val="000000"/>
          <w:sz w:val="32"/>
          <w:szCs w:val="32"/>
        </w:rPr>
        <w:t>缺陷，系统探究近红外光谱与缺陷的响应规律，建立缺陷类型、严重程度与光谱响应的对应关系，针对光谱信号中环境干扰导致的特征模糊问题，研究自适应降噪与校正预处理方法，阐明</w:t>
      </w:r>
      <w:r>
        <w:rPr>
          <w:rFonts w:hint="default" w:ascii="Times New Roman" w:hAnsi="Times New Roman" w:eastAsia="仿宋_GB2312" w:cs="Times New Roman"/>
          <w:color w:val="000000"/>
          <w:sz w:val="32"/>
          <w:szCs w:val="32"/>
          <w:lang w:val="en-US" w:eastAsia="zh-CN"/>
        </w:rPr>
        <w:t>光谱信号</w:t>
      </w:r>
      <w:r>
        <w:rPr>
          <w:rFonts w:hint="default" w:ascii="Times New Roman" w:hAnsi="Times New Roman" w:eastAsia="仿宋_GB2312" w:cs="Times New Roman"/>
          <w:color w:val="000000"/>
          <w:sz w:val="32"/>
          <w:szCs w:val="32"/>
        </w:rPr>
        <w:t>特征维度与缺陷识别精度的内在关联。构建适配脐橙内缺陷的近红外光谱响应模型及高效特征提取方案，破解缺陷光谱识别的核心难题，为脐橙内缺陷无损</w:t>
      </w:r>
      <w:r>
        <w:rPr>
          <w:rFonts w:hint="default" w:ascii="Times New Roman" w:hAnsi="Times New Roman" w:eastAsia="仿宋_GB2312" w:cs="Times New Roman"/>
          <w:color w:val="000000"/>
          <w:sz w:val="32"/>
          <w:szCs w:val="32"/>
          <w:lang w:val="en-US" w:eastAsia="zh-CN"/>
        </w:rPr>
        <w:t>快速</w:t>
      </w:r>
      <w:r>
        <w:rPr>
          <w:rFonts w:hint="default" w:ascii="Times New Roman" w:hAnsi="Times New Roman" w:eastAsia="仿宋_GB2312" w:cs="Times New Roman"/>
          <w:color w:val="000000"/>
          <w:sz w:val="32"/>
          <w:szCs w:val="32"/>
        </w:rPr>
        <w:t>检测提供基础理论与方法支撑。</w:t>
      </w:r>
    </w:p>
    <w:p w14:paraId="398F91A2">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4</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赣南辣椒种苗表型特征精准检测方法与分级标准研究（地域特征和产业特色项目）</w:t>
      </w:r>
    </w:p>
    <w:p w14:paraId="53C0C458">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围绕赣南苏区辣椒产业高质量发展需求，针对赣南辣椒主栽品种工厂化、标准化育苗中种苗分级缺乏科学标准、复杂干扰下机器人分级移栽中表型特征机器视觉检测不准等核心难题，建立基于区域特色农情的种苗壮苗指数多品质特征表征分级方法；研究叶片遮挡、环境光干扰等复杂工况下的双目机器视觉关键点识别和三维重建技术提升种苗表型参数测量精度；建立适配赣南农情和农机农艺需求相适应的辣椒种苗分级技术标准。</w:t>
      </w:r>
    </w:p>
    <w:p w14:paraId="29422CB5">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5</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赣南典型富硒土壤中耐硒微生物特性研究（地域特征和产业特色项目）</w:t>
      </w:r>
    </w:p>
    <w:p w14:paraId="217C097C">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针对赣南富硒土壤资源高效利用的科学需求，围绕富硒土壤微生物特性开展研究。从赣南典型富硒区土壤中系统分离、鉴定具有高耐受性和</w:t>
      </w:r>
      <w:r>
        <w:rPr>
          <w:rFonts w:hint="default" w:ascii="Times New Roman" w:hAnsi="Times New Roman" w:eastAsia="仿宋_GB2312" w:cs="Times New Roman"/>
          <w:color w:val="000000"/>
          <w:sz w:val="32"/>
          <w:szCs w:val="32"/>
          <w:lang w:val="en-US" w:eastAsia="zh-CN"/>
        </w:rPr>
        <w:t>高</w:t>
      </w:r>
      <w:r>
        <w:rPr>
          <w:rFonts w:hint="default" w:ascii="Times New Roman" w:hAnsi="Times New Roman" w:eastAsia="仿宋_GB2312" w:cs="Times New Roman"/>
          <w:color w:val="000000"/>
          <w:sz w:val="32"/>
          <w:szCs w:val="32"/>
        </w:rPr>
        <w:t>硒活化/转化功能的土壤微生物资源，阐明其耐硒生理特性与生长条件；</w:t>
      </w:r>
      <w:r>
        <w:rPr>
          <w:rFonts w:hint="default" w:ascii="Times New Roman" w:hAnsi="Times New Roman" w:eastAsia="仿宋_GB2312" w:cs="Times New Roman"/>
          <w:color w:val="000000"/>
          <w:sz w:val="32"/>
          <w:szCs w:val="32"/>
          <w:lang w:val="en-US" w:eastAsia="zh-CN"/>
        </w:rPr>
        <w:t>鉴定目标菌株</w:t>
      </w:r>
      <w:r>
        <w:rPr>
          <w:rFonts w:hint="default" w:ascii="Times New Roman" w:hAnsi="Times New Roman" w:eastAsia="仿宋_GB2312" w:cs="Times New Roman"/>
          <w:color w:val="000000"/>
          <w:sz w:val="32"/>
          <w:szCs w:val="32"/>
        </w:rPr>
        <w:t>对不同形态硒的生物转化能力，初步探究其调控土壤硒有效性的潜力。为硒污染修复或农业硒生物强化的本土微生物制剂</w:t>
      </w:r>
      <w:r>
        <w:rPr>
          <w:rFonts w:hint="default" w:ascii="Times New Roman" w:hAnsi="Times New Roman" w:eastAsia="仿宋_GB2312" w:cs="Times New Roman"/>
          <w:color w:val="000000"/>
          <w:sz w:val="32"/>
          <w:szCs w:val="32"/>
          <w:lang w:val="en-US" w:eastAsia="zh-CN"/>
        </w:rPr>
        <w:t>研发</w:t>
      </w:r>
      <w:r>
        <w:rPr>
          <w:rFonts w:hint="default" w:ascii="Times New Roman" w:hAnsi="Times New Roman" w:eastAsia="仿宋_GB2312" w:cs="Times New Roman"/>
          <w:color w:val="000000"/>
          <w:sz w:val="32"/>
          <w:szCs w:val="32"/>
        </w:rPr>
        <w:t>提供核心菌种资源与理论依据。</w:t>
      </w:r>
    </w:p>
    <w:p w14:paraId="7406043D">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5．</w:t>
      </w:r>
      <w:r>
        <w:rPr>
          <w:rFonts w:hint="default" w:ascii="Times New Roman" w:hAnsi="Times New Roman" w:eastAsia="仿宋_GB2312" w:cs="Times New Roman"/>
          <w:b/>
          <w:bCs/>
          <w:sz w:val="32"/>
          <w:szCs w:val="32"/>
          <w:u w:val="none"/>
        </w:rPr>
        <w:t>生物医药领域</w:t>
      </w:r>
    </w:p>
    <w:p w14:paraId="1DCB5C7F">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1</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探究稀土在肿瘤及其他地方性疾病早期诊断及临床应用研究（地域特征和产业特色项目）</w:t>
      </w:r>
    </w:p>
    <w:p w14:paraId="08FA724C">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面向人民群众生命健康需求，结合赣南地区稀土产业资源优势特色和特定环境状况，开展稀土新型材料用于肿瘤等疾病的生物成像或生物治疗的应用研究，促进稀土与生物医药交叉领域的融合创新。</w:t>
      </w:r>
    </w:p>
    <w:p w14:paraId="75D7ADA4">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2</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基于受激拉曼散射成像的甲状腺乳头状癌脂质代谢研究（地域特征和产业特色项目）</w:t>
      </w:r>
    </w:p>
    <w:p w14:paraId="217ECB8C">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围绕甲状腺乳头状癌脂质代谢重编程这一前沿方向，结合赣南地区疾病谱特征，开展受激拉曼散射显微成像与多组学整合研究，</w:t>
      </w:r>
      <w:r>
        <w:rPr>
          <w:rFonts w:hint="default" w:ascii="Times New Roman" w:hAnsi="Times New Roman" w:eastAsia="仿宋_GB2312" w:cs="Times New Roman"/>
          <w:color w:val="000000"/>
          <w:sz w:val="32"/>
          <w:szCs w:val="32"/>
          <w:lang w:val="en-US" w:eastAsia="zh-CN"/>
        </w:rPr>
        <w:t>基于前期研究</w:t>
      </w:r>
      <w:r>
        <w:rPr>
          <w:rFonts w:hint="default" w:ascii="Times New Roman" w:hAnsi="Times New Roman" w:eastAsia="仿宋_GB2312" w:cs="Times New Roman"/>
          <w:color w:val="000000"/>
          <w:sz w:val="32"/>
          <w:szCs w:val="32"/>
        </w:rPr>
        <w:t>系统揭示脂质代谢异常驱动甲状腺乳头状癌淋巴转移与碘治疗抵抗的动态规律与分子机制。</w:t>
      </w:r>
    </w:p>
    <w:p w14:paraId="40DD64D8">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3</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基于单细胞与空间转录组技术的肝细胞癌合并门静脉癌栓免疫微环境解析与治疗策略研究（地域特征和产业特色项目）</w:t>
      </w:r>
    </w:p>
    <w:p w14:paraId="4851C53A">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聚焦肝细胞癌PVTT的发生发展及综合治疗HCC合并PVTT的作用机制，开发用于HCC合并PVTT的临床治疗新方案。通过系统生物学分析筛选HCC合并PVTT的关键生物学特征及潜在靶点；深入探索PVTT的微环境特征和综合治疗抗PVTT的分子调控网络。针对发现的靶点开发干预策略，推动基础研究向临床应用转化，为HCC合并PVTT的精准治疗提供新策略和方法。</w:t>
      </w:r>
    </w:p>
    <w:p w14:paraId="2E3FC733">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4</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Reissner纤维功能紊乱诱发脊柱侧凸的分子和细胞基础及干预策略（地域特征和产业特色项目）</w:t>
      </w:r>
    </w:p>
    <w:p w14:paraId="75815789">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CESI仿宋-GB2312" w:cs="Times New Roman"/>
          <w:color w:val="000000"/>
          <w:sz w:val="32"/>
          <w:szCs w:val="32"/>
        </w:rPr>
      </w:pPr>
      <w:r>
        <w:rPr>
          <w:rFonts w:hint="default" w:ascii="Times New Roman" w:hAnsi="Times New Roman" w:eastAsia="仿宋_GB2312" w:cs="Times New Roman"/>
          <w:color w:val="000000"/>
          <w:sz w:val="32"/>
          <w:szCs w:val="32"/>
        </w:rPr>
        <w:t>基于脊椎动物体轴稳态维持机制及斑马鱼脊柱侧凸模型，系统解析Reissner纤维（RF）结构或信号紊乱下，中枢神经管微环境内功能细胞的动态响应与互作网络，构建病理状态单细胞时空图谱，为脊柱侧凸的病因治疗提供</w:t>
      </w:r>
      <w:r>
        <w:rPr>
          <w:rFonts w:hint="default" w:ascii="Times New Roman" w:hAnsi="Times New Roman" w:eastAsia="仿宋_GB2312" w:cs="Times New Roman"/>
          <w:color w:val="000000"/>
          <w:sz w:val="32"/>
          <w:szCs w:val="32"/>
          <w:lang w:val="en-US" w:eastAsia="zh-CN"/>
        </w:rPr>
        <w:t>靶向的治疗</w:t>
      </w:r>
      <w:r>
        <w:rPr>
          <w:rFonts w:hint="default" w:ascii="Times New Roman" w:hAnsi="Times New Roman" w:eastAsia="仿宋_GB2312" w:cs="Times New Roman"/>
          <w:color w:val="000000"/>
          <w:sz w:val="32"/>
          <w:szCs w:val="32"/>
        </w:rPr>
        <w:t>方案并推动临床转化。</w:t>
      </w:r>
    </w:p>
    <w:p w14:paraId="0F7D01A2">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5</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spacing w:val="-6"/>
          <w:kern w:val="0"/>
          <w:sz w:val="32"/>
          <w:szCs w:val="32"/>
        </w:rPr>
        <w:t>基于脑机接口-混合现实-外骨骼技术（BCI-MR-Exoskeleton）</w:t>
      </w:r>
      <w:r>
        <w:rPr>
          <w:rFonts w:hint="default" w:ascii="Times New Roman" w:hAnsi="Times New Roman" w:eastAsia="仿宋_GB2312" w:cs="Times New Roman"/>
          <w:b/>
          <w:color w:val="000000"/>
          <w:kern w:val="0"/>
          <w:sz w:val="32"/>
          <w:szCs w:val="32"/>
        </w:rPr>
        <w:t>智能康复系统研究（地域特征和产业特色项目）</w:t>
      </w:r>
    </w:p>
    <w:p w14:paraId="43307A2B">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聚焦脑卒中康复，融合BCI-MR-Exoskeleton技术，构建脑卒中智慧康复系统,结合稀土新材料提升执行器性能,研发适应赣州基层医疗条件的轻量化外骨骼设备，</w:t>
      </w:r>
      <w:r>
        <w:rPr>
          <w:rFonts w:hint="default" w:ascii="Times New Roman" w:hAnsi="Times New Roman" w:eastAsia="仿宋_GB2312" w:cs="Times New Roman"/>
          <w:color w:val="000000"/>
          <w:sz w:val="32"/>
          <w:szCs w:val="32"/>
          <w:lang w:val="en-US" w:eastAsia="zh-CN"/>
        </w:rPr>
        <w:t>用于脑卒中等骨骼关节疾病，</w:t>
      </w:r>
      <w:r>
        <w:rPr>
          <w:rFonts w:hint="default" w:ascii="Times New Roman" w:hAnsi="Times New Roman" w:eastAsia="仿宋_GB2312" w:cs="Times New Roman"/>
          <w:color w:val="000000"/>
          <w:sz w:val="32"/>
          <w:szCs w:val="32"/>
        </w:rPr>
        <w:t>培育大健康产业链新增长点。</w:t>
      </w:r>
    </w:p>
    <w:p w14:paraId="52179B81">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6</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结直肠癌生物药耐药中NETs的作用机制与干预策略研究（地域特征和产业特色项目）</w:t>
      </w:r>
    </w:p>
    <w:p w14:paraId="49A26B04">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揭示中性粒细胞胞外诱捕网（NETs）在结直肠癌生物制剂（如抗HER2抗体、IF抗体药物等</w:t>
      </w:r>
      <w:r>
        <w:rPr>
          <w:rFonts w:hint="default" w:ascii="Times New Roman" w:hAnsi="Times New Roman" w:eastAsia="仿宋_GB2312" w:cs="Times New Roman"/>
          <w:color w:val="000000"/>
          <w:sz w:val="32"/>
          <w:szCs w:val="32"/>
          <w:lang w:val="en-US" w:eastAsia="zh-CN"/>
        </w:rPr>
        <w:t>多靶点</w:t>
      </w:r>
      <w:r>
        <w:rPr>
          <w:rFonts w:hint="default" w:ascii="Times New Roman" w:hAnsi="Times New Roman" w:eastAsia="仿宋_GB2312" w:cs="Times New Roman"/>
          <w:color w:val="000000"/>
          <w:sz w:val="32"/>
          <w:szCs w:val="32"/>
        </w:rPr>
        <w:t>）耐药中的核心作用。为破解结直肠癌生物治疗瓶颈提供新靶点与联合治疗新思路。</w:t>
      </w:r>
    </w:p>
    <w:p w14:paraId="66D82F3C">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7</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骨关节炎治疗多尺度适配性材料构建与生物学机制（地域特征和产业特色项目）</w:t>
      </w:r>
    </w:p>
    <w:p w14:paraId="4C2D0097">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针对病理微环境复杂及内源性再生能力匮乏的痛点，开展具有宏观物理适配、介观细胞适配性、微观代谢适配的多尺度适配性生物材料研究。深入解析材料物理-化学信号通过核糖体生物发生等关键代谢通路</w:t>
      </w:r>
      <w:r>
        <w:rPr>
          <w:rFonts w:hint="default" w:ascii="Times New Roman" w:hAnsi="Times New Roman" w:eastAsia="仿宋_GB2312" w:cs="Times New Roman"/>
          <w:color w:val="000000"/>
          <w:sz w:val="32"/>
          <w:szCs w:val="32"/>
          <w:lang w:val="en-US" w:eastAsia="zh-CN"/>
        </w:rPr>
        <w:t>修复软骨、</w:t>
      </w:r>
      <w:r>
        <w:rPr>
          <w:rFonts w:hint="default" w:ascii="Times New Roman" w:hAnsi="Times New Roman" w:eastAsia="仿宋_GB2312" w:cs="Times New Roman"/>
          <w:color w:val="000000"/>
          <w:sz w:val="32"/>
          <w:szCs w:val="32"/>
        </w:rPr>
        <w:t>重塑代谢稳态分子机制，为实现从“微环境改善”到“功能组织再生”的级联修复提供理论基础。</w:t>
      </w:r>
    </w:p>
    <w:p w14:paraId="5BC13A27">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8</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基于单细胞空间转录组测序的赣南地区乳腺恶性肿瘤淋巴结转移的分子机制及治疗靶点研究（地域特征和产业特色项目）</w:t>
      </w:r>
    </w:p>
    <w:p w14:paraId="4182C7DA">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CESI仿宋-GB2312" w:cs="Times New Roman"/>
          <w:color w:val="000000"/>
          <w:sz w:val="32"/>
          <w:szCs w:val="32"/>
        </w:rPr>
      </w:pPr>
      <w:r>
        <w:rPr>
          <w:rFonts w:hint="default" w:ascii="Times New Roman" w:hAnsi="Times New Roman" w:eastAsia="仿宋_GB2312" w:cs="Times New Roman"/>
          <w:color w:val="000000"/>
          <w:sz w:val="32"/>
          <w:szCs w:val="32"/>
        </w:rPr>
        <w:t>围绕乳腺癌腋窝淋巴结转移的临床诊治困境和挑战，利用单细胞空间转录组测序技术，构建肿瘤原发灶、前哨淋巴结的高分辨率分子图谱。揭示乳腺癌淋巴结转移的分子机制，鉴定可用于早期诊断和精准干预的新治疗靶点，实现乳腺恶性肿瘤的精准治疗。</w:t>
      </w:r>
    </w:p>
    <w:p w14:paraId="2B4C0B1A">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9</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肺部流域地形图辅助精准微创肺癌切除的应用基础与临床研究（地域特征和产业特色项目）</w:t>
      </w:r>
    </w:p>
    <w:p w14:paraId="4745B096">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基于肺部血管网络的“流域地形图”技术，利用高精度CT扫描和人工智能算法，生成亚肺段级别的3D血管模型，结合荧光导航实现术中实时定位,将切除范围精确到亚肺段级别，最大限度保留肺功能，提高手术精准度。</w:t>
      </w:r>
      <w:r>
        <w:rPr>
          <w:rFonts w:hint="default" w:ascii="Times New Roman" w:hAnsi="Times New Roman" w:eastAsia="仿宋_GB2312" w:cs="Times New Roman"/>
          <w:color w:val="000000"/>
          <w:sz w:val="32"/>
          <w:szCs w:val="32"/>
          <w:lang w:val="en-US" w:eastAsia="zh-CN"/>
        </w:rPr>
        <w:t>在项目实施期间，应用30-50例临床试验。</w:t>
      </w:r>
    </w:p>
    <w:p w14:paraId="0B4AE564">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sz w:val="32"/>
          <w:szCs w:val="32"/>
          <w:u w:val="none"/>
        </w:rPr>
      </w:pPr>
      <w:r>
        <w:rPr>
          <w:rFonts w:hint="default" w:ascii="Times New Roman" w:hAnsi="Times New Roman" w:eastAsia="仿宋_GB2312" w:cs="Times New Roman"/>
          <w:b/>
          <w:bCs/>
          <w:sz w:val="32"/>
          <w:szCs w:val="32"/>
          <w:u w:val="none"/>
          <w:lang w:val="en-US" w:eastAsia="zh-CN"/>
        </w:rPr>
        <w:t>6．</w:t>
      </w:r>
      <w:r>
        <w:rPr>
          <w:rFonts w:hint="default" w:ascii="Times New Roman" w:hAnsi="Times New Roman" w:eastAsia="仿宋_GB2312" w:cs="Times New Roman"/>
          <w:b/>
          <w:bCs/>
          <w:sz w:val="32"/>
          <w:szCs w:val="32"/>
          <w:u w:val="none"/>
        </w:rPr>
        <w:t>资源与环境领域</w:t>
      </w:r>
    </w:p>
    <w:p w14:paraId="1CF72E5B">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1</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锂渣基多元固废胶凝材料反应机理及应用基础研究（地域特征和产业特色项目）</w:t>
      </w:r>
    </w:p>
    <w:p w14:paraId="460B5CC6">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针对锂渣堆放引发</w:t>
      </w:r>
      <w:r>
        <w:rPr>
          <w:rFonts w:hint="default" w:ascii="Times New Roman" w:hAnsi="Times New Roman" w:eastAsia="仿宋_GB2312" w:cs="Times New Roman"/>
          <w:color w:val="000000"/>
          <w:sz w:val="32"/>
          <w:szCs w:val="32"/>
          <w:lang w:val="en-US" w:eastAsia="zh-CN"/>
        </w:rPr>
        <w:t>的铊等</w:t>
      </w:r>
      <w:r>
        <w:rPr>
          <w:rFonts w:hint="default" w:ascii="Times New Roman" w:hAnsi="Times New Roman" w:eastAsia="仿宋_GB2312" w:cs="Times New Roman"/>
          <w:color w:val="000000"/>
          <w:sz w:val="32"/>
          <w:szCs w:val="32"/>
        </w:rPr>
        <w:t>环境风险</w:t>
      </w:r>
      <w:r>
        <w:rPr>
          <w:rFonts w:hint="default" w:ascii="Times New Roman" w:hAnsi="Times New Roman" w:eastAsia="仿宋_GB2312" w:cs="Times New Roman"/>
          <w:color w:val="000000"/>
          <w:sz w:val="32"/>
          <w:szCs w:val="32"/>
          <w:lang w:val="en-US" w:eastAsia="zh-CN"/>
        </w:rPr>
        <w:t>及利用率低</w:t>
      </w:r>
      <w:r>
        <w:rPr>
          <w:rFonts w:hint="default" w:ascii="Times New Roman" w:hAnsi="Times New Roman" w:eastAsia="仿宋_GB2312" w:cs="Times New Roman"/>
          <w:color w:val="000000"/>
          <w:sz w:val="32"/>
          <w:szCs w:val="32"/>
        </w:rPr>
        <w:t>问题，开展基于锂渣的多元固废</w:t>
      </w:r>
      <w:r>
        <w:rPr>
          <w:rFonts w:hint="default" w:ascii="Times New Roman" w:hAnsi="Times New Roman" w:eastAsia="仿宋_GB2312" w:cs="Times New Roman"/>
          <w:color w:val="000000"/>
          <w:sz w:val="32"/>
          <w:szCs w:val="32"/>
          <w:lang w:val="en-US" w:eastAsia="zh-CN"/>
        </w:rPr>
        <w:t>重金属固化</w:t>
      </w:r>
      <w:r>
        <w:rPr>
          <w:rFonts w:hint="default" w:ascii="Times New Roman" w:hAnsi="Times New Roman" w:eastAsia="仿宋_GB2312" w:cs="Times New Roman"/>
          <w:color w:val="000000"/>
          <w:sz w:val="32"/>
          <w:szCs w:val="32"/>
        </w:rPr>
        <w:t>无熟料胶凝材料</w:t>
      </w:r>
      <w:r>
        <w:rPr>
          <w:rFonts w:hint="default" w:ascii="Times New Roman" w:hAnsi="Times New Roman" w:eastAsia="仿宋_GB2312" w:cs="Times New Roman"/>
          <w:color w:val="000000"/>
          <w:sz w:val="32"/>
          <w:szCs w:val="32"/>
          <w:lang w:val="en-US" w:eastAsia="zh-CN"/>
        </w:rPr>
        <w:t>优化及</w:t>
      </w:r>
      <w:r>
        <w:rPr>
          <w:rFonts w:hint="default" w:ascii="Times New Roman" w:hAnsi="Times New Roman" w:eastAsia="仿宋_GB2312" w:cs="Times New Roman"/>
          <w:color w:val="000000"/>
          <w:sz w:val="32"/>
          <w:szCs w:val="32"/>
        </w:rPr>
        <w:t>资源化研究，揭示其水化反应与结构演化机制，探索复杂服役环境下的抗蚀性和实际应用稳定性，为锂渣固废高值利用提供理论基础与技术支撑。</w:t>
      </w:r>
    </w:p>
    <w:p w14:paraId="7C9C6332">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2</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离子型稀土矿尾水氨氮高效治理协同稀土回收技术研究（地域特征和产业特色项目）</w:t>
      </w:r>
    </w:p>
    <w:p w14:paraId="01E985F5">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赣南离子型稀土矿山尾水氨氮污染和稀土流失问题，开展高效电化学氨氧化耦合稀土回收技术研究；制备稀土掺杂非贵金属三维多孔催化剂电极，建立物理化学性质与氨氧化和稀土回收性能的构-效关系，探索电极材料在真实工况下的长期运行稳定性。</w:t>
      </w:r>
    </w:p>
    <w:p w14:paraId="57B950EE">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3</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离子型稀土矿原地浸矿渗流路径</w:t>
      </w:r>
      <w:r>
        <w:rPr>
          <w:rFonts w:hint="default" w:ascii="Times New Roman" w:hAnsi="Times New Roman" w:eastAsia="仿宋_GB2312" w:cs="Times New Roman"/>
          <w:b/>
          <w:color w:val="000000"/>
          <w:kern w:val="0"/>
          <w:sz w:val="32"/>
          <w:szCs w:val="32"/>
          <w:lang w:val="en-US" w:eastAsia="zh-CN"/>
        </w:rPr>
        <w:t>动态</w:t>
      </w:r>
      <w:r>
        <w:rPr>
          <w:rFonts w:hint="default" w:ascii="Times New Roman" w:hAnsi="Times New Roman" w:eastAsia="仿宋_GB2312" w:cs="Times New Roman"/>
          <w:b/>
          <w:color w:val="000000"/>
          <w:kern w:val="0"/>
          <w:sz w:val="32"/>
          <w:szCs w:val="32"/>
        </w:rPr>
        <w:t>研究（地域特征和产业特色项目）</w:t>
      </w:r>
    </w:p>
    <w:p w14:paraId="1A3323B7">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针对离子型稀土原地浸矿开采渗流路径不透明、扩散范围难控制、污染风险难防控等难题，开展高密度电阻率法等地球物理探测集成技术</w:t>
      </w:r>
      <w:r>
        <w:rPr>
          <w:rFonts w:hint="default" w:ascii="Times New Roman" w:hAnsi="Times New Roman" w:eastAsia="仿宋_GB2312" w:cs="Times New Roman"/>
          <w:color w:val="000000"/>
          <w:sz w:val="32"/>
          <w:szCs w:val="32"/>
          <w:lang w:val="en-US" w:eastAsia="zh-CN"/>
        </w:rPr>
        <w:t>及地下水调查监测技术</w:t>
      </w:r>
      <w:r>
        <w:rPr>
          <w:rFonts w:hint="default" w:ascii="Times New Roman" w:hAnsi="Times New Roman" w:eastAsia="仿宋_GB2312" w:cs="Times New Roman"/>
          <w:color w:val="000000"/>
          <w:sz w:val="32"/>
          <w:szCs w:val="32"/>
        </w:rPr>
        <w:t>研究，分析多场耦合作用下矿体含液量敏感性，预测渗流路径动态演化规律，构建离子型稀土矿渗流路径“探测-识别-预测”方法体系，</w:t>
      </w:r>
      <w:r>
        <w:rPr>
          <w:rFonts w:hint="default" w:ascii="Times New Roman" w:hAnsi="Times New Roman" w:eastAsia="仿宋_GB2312" w:cs="Times New Roman"/>
          <w:color w:val="000000"/>
          <w:sz w:val="32"/>
          <w:szCs w:val="32"/>
          <w:lang w:val="en-US" w:eastAsia="zh-CN"/>
        </w:rPr>
        <w:t>建立渗流预测模型，</w:t>
      </w:r>
      <w:r>
        <w:rPr>
          <w:rFonts w:hint="default" w:ascii="Times New Roman" w:hAnsi="Times New Roman" w:eastAsia="仿宋_GB2312" w:cs="Times New Roman"/>
          <w:color w:val="000000"/>
          <w:sz w:val="32"/>
          <w:szCs w:val="32"/>
        </w:rPr>
        <w:t>支撑离子型稀土矿绿色、高效原地浸矿。</w:t>
      </w:r>
    </w:p>
    <w:p w14:paraId="2DCD1E0B">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4</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矿山选矿废水中残留有机浮选药剂的</w:t>
      </w:r>
      <w:r>
        <w:rPr>
          <w:rFonts w:hint="default" w:ascii="Times New Roman" w:hAnsi="Times New Roman" w:eastAsia="仿宋_GB2312" w:cs="Times New Roman"/>
          <w:b/>
          <w:color w:val="000000"/>
          <w:kern w:val="0"/>
          <w:sz w:val="32"/>
          <w:szCs w:val="32"/>
          <w:lang w:val="en-US" w:eastAsia="zh-CN"/>
        </w:rPr>
        <w:t>高效</w:t>
      </w:r>
      <w:r>
        <w:rPr>
          <w:rFonts w:hint="default" w:ascii="Times New Roman" w:hAnsi="Times New Roman" w:eastAsia="仿宋_GB2312" w:cs="Times New Roman"/>
          <w:b/>
          <w:color w:val="000000"/>
          <w:kern w:val="0"/>
          <w:sz w:val="32"/>
          <w:szCs w:val="32"/>
        </w:rPr>
        <w:t>催化强化降解机制研究（地域特征和产业特色项目）</w:t>
      </w:r>
    </w:p>
    <w:p w14:paraId="28605545">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赣南特色矿山选矿废水中残留有机浮选药剂浓度高、可生化性差，导致尾水回用难、环境风险高的瓶颈问题，开展新型高效催化强化降解技术研究，制备高效、稳定的催化剂，揭示多场（电场、光场、声场等）耦合下有机浮选药剂的转化路径与降解机制，优化复杂水质条件下的有机浮选药剂催化强化降解工艺，突破现有高级氧化技术的效率与成本限制，为实现选矿废水深度净化提供理论基础与技术支撑。</w:t>
      </w:r>
    </w:p>
    <w:p w14:paraId="1879606B">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lang w:val="en-US" w:eastAsia="zh-CN"/>
        </w:rPr>
        <w:t>5</w:t>
      </w:r>
      <w:r>
        <w:rPr>
          <w:rFonts w:hint="default" w:ascii="Times New Roman" w:hAnsi="Times New Roman" w:eastAsia="仿宋_GB2312" w:cs="Times New Roman"/>
          <w:b/>
          <w:color w:val="000000"/>
          <w:kern w:val="0"/>
          <w:sz w:val="32"/>
          <w:szCs w:val="32"/>
          <w:lang w:eastAsia="zh-CN"/>
        </w:rPr>
        <w:t>）</w:t>
      </w:r>
      <w:r>
        <w:rPr>
          <w:rFonts w:hint="default" w:ascii="Times New Roman" w:hAnsi="Times New Roman" w:eastAsia="仿宋_GB2312" w:cs="Times New Roman"/>
          <w:b/>
          <w:color w:val="000000"/>
          <w:kern w:val="0"/>
          <w:sz w:val="32"/>
          <w:szCs w:val="32"/>
        </w:rPr>
        <w:t>赣南离子型稀土矿山土壤生态修复耦合机制与功能重建（地域特征和产业特色项目）</w:t>
      </w:r>
    </w:p>
    <w:p w14:paraId="410F8159">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离子型稀土矿山开采导致的土壤结构破坏、重金属与稀土元素复合污染及生态功能退化问题，开展土壤修复材料、先锋植物及功能微生物的适配性筛选与协同修复研究，揭示矿山土壤改良、污染元素迁移转化与</w:t>
      </w:r>
      <w:r>
        <w:rPr>
          <w:rFonts w:hint="default" w:ascii="Times New Roman" w:hAnsi="Times New Roman" w:eastAsia="仿宋_GB2312" w:cs="Times New Roman"/>
          <w:color w:val="000000"/>
          <w:sz w:val="32"/>
          <w:szCs w:val="32"/>
          <w:lang w:val="en-US" w:eastAsia="zh-CN"/>
        </w:rPr>
        <w:t>功能重建</w:t>
      </w:r>
      <w:r>
        <w:rPr>
          <w:rFonts w:hint="default" w:ascii="Times New Roman" w:hAnsi="Times New Roman" w:eastAsia="仿宋_GB2312" w:cs="Times New Roman"/>
          <w:color w:val="000000"/>
          <w:sz w:val="32"/>
          <w:szCs w:val="32"/>
        </w:rPr>
        <w:t>机制，构建离子型稀土矿山生态修复效果评价体系，为离子型稀土矿山生态修复与生态安全提供理论和技术支撑。</w:t>
      </w:r>
    </w:p>
    <w:p w14:paraId="3505902E">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楷体_GB2312" w:cs="Times New Roman"/>
          <w:b/>
          <w:bCs/>
          <w:color w:val="000000"/>
          <w:lang w:val="en-US" w:eastAsia="zh-CN"/>
        </w:rPr>
      </w:pPr>
      <w:r>
        <w:rPr>
          <w:rFonts w:hint="default" w:ascii="Times New Roman" w:hAnsi="Times New Roman" w:eastAsia="楷体_GB2312" w:cs="Times New Roman"/>
          <w:b/>
          <w:bCs/>
          <w:color w:val="000000"/>
          <w:kern w:val="0"/>
          <w:sz w:val="32"/>
          <w:szCs w:val="32"/>
          <w:lang w:eastAsia="zh-CN"/>
        </w:rPr>
        <w:t>（</w:t>
      </w:r>
      <w:r>
        <w:rPr>
          <w:rFonts w:hint="default" w:ascii="Times New Roman" w:hAnsi="Times New Roman" w:eastAsia="楷体_GB2312" w:cs="Times New Roman"/>
          <w:b/>
          <w:bCs/>
          <w:color w:val="000000"/>
          <w:kern w:val="0"/>
          <w:sz w:val="32"/>
          <w:szCs w:val="32"/>
          <w:lang w:val="en-US" w:eastAsia="zh-CN"/>
        </w:rPr>
        <w:t>二</w:t>
      </w:r>
      <w:r>
        <w:rPr>
          <w:rFonts w:hint="default" w:ascii="Times New Roman" w:hAnsi="Times New Roman" w:eastAsia="楷体_GB2312" w:cs="Times New Roman"/>
          <w:b/>
          <w:bCs/>
          <w:color w:val="000000"/>
          <w:kern w:val="0"/>
          <w:sz w:val="32"/>
          <w:szCs w:val="32"/>
          <w:lang w:eastAsia="zh-CN"/>
        </w:rPr>
        <w:t>）</w:t>
      </w:r>
      <w:r>
        <w:rPr>
          <w:rFonts w:hint="default" w:ascii="Times New Roman" w:hAnsi="Times New Roman" w:eastAsia="楷体_GB2312" w:cs="Times New Roman"/>
          <w:b/>
          <w:bCs/>
          <w:color w:val="000000"/>
          <w:kern w:val="0"/>
          <w:sz w:val="32"/>
          <w:szCs w:val="32"/>
          <w:lang w:val="en-US" w:eastAsia="zh-CN"/>
        </w:rPr>
        <w:t>面上项目（国家区域医疗中心建设项目）</w:t>
      </w:r>
    </w:p>
    <w:p w14:paraId="62F35ECD">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b/>
          <w:color w:val="000000"/>
          <w:kern w:val="0"/>
          <w:sz w:val="32"/>
          <w:szCs w:val="32"/>
        </w:rPr>
        <w:t>1．突破血脑屏障的铈/碳点诊疗剂构建及其协同抗菌机理</w:t>
      </w:r>
    </w:p>
    <w:p w14:paraId="28439ECB">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神经外科中枢神经系统细菌感染致死致残率高，临床治疗主要受限于血脑屏障对药物的严重阻隔。针对这一难题，基于赣州特色稀土资源，重点利用稀土铈（Ce）独特的氧化还原仿酶活性，与具备高血脑屏障穿透性的碳点结合，构建铈基发光纳米复合材料，并借助共价有机框架实现高效负载与可控释放，以期实现感染部位的精准诊断与高效治疗一体化。同时，结合分子动力学与量子化学模拟，从原子层面阐明该复合材料对常见致病菌的抑制行为与</w:t>
      </w:r>
      <w:r>
        <w:rPr>
          <w:rFonts w:hint="default" w:ascii="Times New Roman" w:hAnsi="Times New Roman" w:eastAsia="仿宋_GB2312" w:cs="Times New Roman"/>
          <w:color w:val="000000"/>
          <w:sz w:val="32"/>
          <w:szCs w:val="32"/>
          <w:lang w:val="en-US" w:eastAsia="zh-CN"/>
        </w:rPr>
        <w:t>机制</w:t>
      </w:r>
      <w:r>
        <w:rPr>
          <w:rFonts w:hint="default" w:ascii="Times New Roman" w:hAnsi="Times New Roman" w:eastAsia="仿宋_GB2312" w:cs="Times New Roman"/>
          <w:color w:val="000000"/>
          <w:sz w:val="32"/>
          <w:szCs w:val="32"/>
        </w:rPr>
        <w:t>，推动赣州稀土资源的高附加值转化，为攻克中枢神经系统细菌感染难题提供新的理论依据与技术路径。</w:t>
      </w:r>
    </w:p>
    <w:p w14:paraId="29277E09">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rPr>
        <w:t>2．基于多模态眼底影像的RVO细胞因子无创预测模型构建</w:t>
      </w:r>
    </w:p>
    <w:p w14:paraId="00245E46">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通过建立视网膜静脉阻塞（RVO）患者眼底影像特征与房水细胞因子水平的关联模型，以期实现通过无创影像预测眼内炎症状态，指导个体化治疗。研究纳入RVO（CRVO、BRVO)患者，采集基线及接受治疗后的房水样本（检测VEGF、IL-6、IL-8等关键细胞因子）与多模态图像。对眼底多模态图像进行AI定量分析，提取包括血管形态变化、出血点个数及面积、硬性渗出、软性渗出、黄斑下积液等标志性指标。通过动态监测与相关性分析，筛选并验证特定眼底影像学特征与特定细胞因子的关联强度，构建并验证基于眼底图像特征的无创细胞因子水平预测模型。</w:t>
      </w:r>
    </w:p>
    <w:p w14:paraId="2824B066">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rPr>
        <w:t>3．靶向CPT1A介导的脂肪酸氧化清除ETP-ALL白血病干细胞的机制及干预策略研究</w:t>
      </w:r>
    </w:p>
    <w:p w14:paraId="732F3879">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ETP-ALL的治疗难题，聚焦LSCs代谢脆弱性机制研究。利用单细胞多组学技术解析LSCs代谢重编程特征，利用CRISPR-Cas9、代谢流分析、体内外功能实验等阐明脂肪酸氧化关键酶CPT1A在ETP-ALL干细胞维持、耐药及复发中的核心作用及分子调控机制。高通量药物筛选并验证靶向CPT1A的小分子抑制剂或天然药物先导化合物，为赣南地区ETP-ALL患者提供个体化治疗方案，促进靶向药物临床转化应用。</w:t>
      </w:r>
    </w:p>
    <w:p w14:paraId="4D10970B">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val="en-US" w:eastAsia="zh-CN"/>
        </w:rPr>
        <w:t>4</w:t>
      </w:r>
      <w:r>
        <w:rPr>
          <w:rFonts w:hint="default" w:ascii="Times New Roman" w:hAnsi="Times New Roman" w:eastAsia="仿宋_GB2312" w:cs="Times New Roman"/>
          <w:b/>
          <w:bCs/>
          <w:color w:val="000000"/>
          <w:kern w:val="0"/>
          <w:sz w:val="32"/>
          <w:szCs w:val="32"/>
        </w:rPr>
        <w:t>．多功能纳米递送系统介导活性成分靶向调控代谢网络及代谢相关疾病干预</w:t>
      </w:r>
    </w:p>
    <w:p w14:paraId="5FB3011D">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赣南苏区代谢相关疾病高发且防治体系薄弱、区域重视不足的现状，聚焦代谢网络调控的关键科学问题，研发多功能纳米递送系统（靶向、响应、缓释等特性），挖掘天然活性成分、小分子药物、生物活性肽等多元活性物质，系统研究其靶向脂肪、肝脏、胰腺等代谢关键器官的递送机制，阐明活性成分调控糖脂代谢、炎症反应、氧化应激等多通路协同干预机制，构建“材料-成分-靶点-疾病”一体化干预体系，为区域代谢相关疾病精准防治提供创新技术与理论支撑。</w:t>
      </w:r>
    </w:p>
    <w:p w14:paraId="59316A13">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val="en-US" w:eastAsia="zh-CN"/>
        </w:rPr>
        <w:t>5</w:t>
      </w:r>
      <w:r>
        <w:rPr>
          <w:rFonts w:hint="default" w:ascii="Times New Roman" w:hAnsi="Times New Roman" w:eastAsia="仿宋_GB2312" w:cs="Times New Roman"/>
          <w:b/>
          <w:bCs/>
          <w:color w:val="000000"/>
          <w:kern w:val="0"/>
          <w:sz w:val="32"/>
          <w:szCs w:val="32"/>
        </w:rPr>
        <w:t>．基于多组学技术的和胃补气方治疗慢性萎缩性胃炎机制研究</w:t>
      </w:r>
    </w:p>
    <w:p w14:paraId="35A9F47F">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聚焦慢性萎缩性胃炎癌前病变防治需求，结合赣州中医药特色，开展和胃补气方作用机制研究。构建标准化慢性萎缩性胃炎动物模型，通过病理检测评估胃黏膜修复效果，利用转录组学、蛋白质组学技术筛选差异基因与蛋白，解析其对炎症调控通路、胃黏膜细胞增殖凋亡相关分子的影响，通过分子生物学实验验证核心靶点，阐明</w:t>
      </w:r>
      <w:r>
        <w:rPr>
          <w:rFonts w:hint="default" w:ascii="Times New Roman" w:hAnsi="Times New Roman" w:eastAsia="仿宋_GB2312" w:cs="Times New Roman"/>
          <w:color w:val="000000"/>
          <w:sz w:val="32"/>
          <w:szCs w:val="32"/>
          <w:lang w:val="en-US" w:eastAsia="zh-CN"/>
        </w:rPr>
        <w:t>胃补气方治疗慢性萎缩性胃炎的分子机制</w:t>
      </w:r>
      <w:r>
        <w:rPr>
          <w:rFonts w:hint="default" w:ascii="Times New Roman" w:hAnsi="Times New Roman" w:eastAsia="仿宋_GB2312" w:cs="Times New Roman"/>
          <w:color w:val="000000"/>
          <w:sz w:val="32"/>
          <w:szCs w:val="32"/>
        </w:rPr>
        <w:t>。</w:t>
      </w:r>
    </w:p>
    <w:p w14:paraId="4B389ED7">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val="en-US" w:eastAsia="zh-CN"/>
        </w:rPr>
        <w:t>6</w:t>
      </w:r>
      <w:r>
        <w:rPr>
          <w:rFonts w:hint="default" w:ascii="Times New Roman" w:hAnsi="Times New Roman" w:eastAsia="仿宋_GB2312" w:cs="Times New Roman"/>
          <w:b/>
          <w:bCs/>
          <w:color w:val="000000"/>
          <w:kern w:val="0"/>
          <w:sz w:val="32"/>
          <w:szCs w:val="32"/>
        </w:rPr>
        <w:t>．骨组织工程材料在骨质疏松骨不愈合的应用研究</w:t>
      </w:r>
    </w:p>
    <w:p w14:paraId="63253C68">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随着老龄化进程的加剧，骨质疏松性骨折及其导致的骨不愈发生率在赣州地区逐年攀升，骨组织工程材料被视为突破骨质疏松性骨折骨不愈治疗瓶颈最具潜力的策略。通过研发能够靶向调控铁死亡、线粒体功能及骨免疫微环境的新型智能骨组织工程材料，阐明其干预机制、促进成骨再生的作用，为治愈骨质疏松性骨折骨不愈开辟新的研究方向。</w:t>
      </w:r>
    </w:p>
    <w:p w14:paraId="3589B2B3">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val="en-US" w:eastAsia="zh-CN"/>
        </w:rPr>
        <w:t>7</w:t>
      </w:r>
      <w:r>
        <w:rPr>
          <w:rFonts w:hint="default" w:ascii="Times New Roman" w:hAnsi="Times New Roman" w:eastAsia="仿宋_GB2312" w:cs="Times New Roman"/>
          <w:b/>
          <w:bCs/>
          <w:color w:val="000000"/>
          <w:kern w:val="0"/>
          <w:sz w:val="32"/>
          <w:szCs w:val="32"/>
        </w:rPr>
        <w:t>．稀土增强型类器官模型构建及其在肿瘤个体化诊断中的应用基础研究</w:t>
      </w:r>
    </w:p>
    <w:p w14:paraId="6C2D203B">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肿瘤个体化诊疗需要高度模拟原发瘤特征的体外模型。针对当前患者来源类器官培养成功率、功能维持及异质性再现不足的共性瓶颈，探索利用稀土材料的独特理化性质，优化类器官培养体系，研究稀土离子或复合材料如何改善培养基的理化微环境（如氧传输、pH缓冲、离子稳态），促进肿瘤类器官的稳定扩增、功能成熟及关键病理特征（如特定分子标志物表达、基质构成）的保留，以建立更可靠的个体化药敏测试与分子分型研究平台。</w:t>
      </w:r>
    </w:p>
    <w:p w14:paraId="50361CCC">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val="en-US" w:eastAsia="zh-CN"/>
        </w:rPr>
        <w:t>8</w:t>
      </w:r>
      <w:r>
        <w:rPr>
          <w:rFonts w:hint="default" w:ascii="Times New Roman" w:hAnsi="Times New Roman" w:eastAsia="仿宋_GB2312" w:cs="Times New Roman"/>
          <w:b/>
          <w:bCs/>
          <w:color w:val="000000"/>
          <w:kern w:val="0"/>
          <w:sz w:val="32"/>
          <w:szCs w:val="32"/>
        </w:rPr>
        <w:t>．多活性纳米酶靶向干预尘肺肺纤维化的作用与机制研究</w:t>
      </w:r>
    </w:p>
    <w:p w14:paraId="0503DC10">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针对赣南矿产资源区尘肺病高发、缺乏有效治疗手段的临床难题。研究构建并系统表征具有多重酶活性的双金属纳米酶，探索其干预尘肺肺纤维化的</w:t>
      </w:r>
      <w:r>
        <w:rPr>
          <w:rFonts w:hint="default" w:ascii="Times New Roman" w:hAnsi="Times New Roman" w:eastAsia="仿宋_GB2312" w:cs="Times New Roman"/>
          <w:color w:val="000000"/>
          <w:sz w:val="32"/>
          <w:szCs w:val="32"/>
          <w:lang w:val="en-US" w:eastAsia="zh-CN"/>
        </w:rPr>
        <w:t>分子</w:t>
      </w:r>
      <w:r>
        <w:rPr>
          <w:rFonts w:hint="default" w:ascii="Times New Roman" w:hAnsi="Times New Roman" w:eastAsia="仿宋_GB2312" w:cs="Times New Roman"/>
          <w:color w:val="000000"/>
          <w:sz w:val="32"/>
          <w:szCs w:val="32"/>
        </w:rPr>
        <w:t>机制。综合运用尘肺动物模型、细胞共培养体系、多组学分析及临床标本验证，从分子、细胞到整体水平系统解析纳米酶阻断尘肺纤维化进程的作用途径，为开发适用于尘肺病的高效低毒纳米治疗制剂提供科学依据。</w:t>
      </w:r>
    </w:p>
    <w:p w14:paraId="498AEE05">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val="en-US" w:eastAsia="zh-CN"/>
        </w:rPr>
        <w:t>9</w:t>
      </w:r>
      <w:r>
        <w:rPr>
          <w:rFonts w:hint="default" w:ascii="Times New Roman" w:hAnsi="Times New Roman" w:eastAsia="仿宋_GB2312" w:cs="Times New Roman"/>
          <w:b/>
          <w:bCs/>
          <w:color w:val="000000"/>
          <w:kern w:val="0"/>
          <w:sz w:val="32"/>
          <w:szCs w:val="32"/>
        </w:rPr>
        <w:t>．卒中后远隔丘脑疾病相关小胶质细胞异常增殖机制研究</w:t>
      </w:r>
    </w:p>
    <w:p w14:paraId="6B4818B3">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丘脑作为关键认知整合枢纽，在卒中后易发生持续性神经元损伤及免疫稳态失衡，但分子调控机制尚不明确。依托多组学技术，系统解析卒中后远隔丘脑疾病相关小胶质细胞异常增殖及其分子调控机制，挖掘调控慢性继发性损害和迟发型认知障碍的潜在干预靶点，为卒中后认知障碍防治提供新思路。</w:t>
      </w:r>
    </w:p>
    <w:p w14:paraId="063D8F5E">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rPr>
        <w:t>1</w:t>
      </w:r>
      <w:r>
        <w:rPr>
          <w:rFonts w:hint="default" w:ascii="Times New Roman" w:hAnsi="Times New Roman" w:eastAsia="仿宋_GB2312" w:cs="Times New Roman"/>
          <w:b/>
          <w:bCs/>
          <w:color w:val="000000"/>
          <w:kern w:val="0"/>
          <w:sz w:val="32"/>
          <w:szCs w:val="32"/>
          <w:lang w:val="en-US" w:eastAsia="zh-CN"/>
        </w:rPr>
        <w:t>0</w:t>
      </w:r>
      <w:r>
        <w:rPr>
          <w:rFonts w:hint="default" w:ascii="Times New Roman" w:hAnsi="Times New Roman" w:eastAsia="仿宋_GB2312" w:cs="Times New Roman"/>
          <w:b/>
          <w:bCs/>
          <w:color w:val="000000"/>
          <w:kern w:val="0"/>
          <w:sz w:val="32"/>
          <w:szCs w:val="32"/>
        </w:rPr>
        <w:t>．光学分子影像的FAP</w:t>
      </w:r>
      <w:r>
        <w:rPr>
          <w:rFonts w:hint="default" w:ascii="Times New Roman" w:hAnsi="Times New Roman" w:eastAsia="仿宋_GB2312" w:cs="Times New Roman"/>
          <w:b/>
          <w:bCs/>
          <w:color w:val="000000"/>
          <w:kern w:val="0"/>
          <w:sz w:val="32"/>
          <w:szCs w:val="32"/>
          <w:vertAlign w:val="superscript"/>
        </w:rPr>
        <w:t>+</w:t>
      </w:r>
      <w:r>
        <w:rPr>
          <w:rFonts w:hint="default" w:ascii="Times New Roman" w:hAnsi="Times New Roman" w:eastAsia="仿宋_GB2312" w:cs="Times New Roman"/>
          <w:b/>
          <w:bCs/>
          <w:color w:val="000000"/>
          <w:kern w:val="0"/>
          <w:sz w:val="32"/>
          <w:szCs w:val="32"/>
        </w:rPr>
        <w:t xml:space="preserve"> CAF活体可视化及预测HCC免疫治疗疗效机制研究</w:t>
      </w:r>
    </w:p>
    <w:p w14:paraId="7F79C129">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将FAP</w:t>
      </w:r>
      <w:r>
        <w:rPr>
          <w:rFonts w:hint="default" w:ascii="Times New Roman" w:hAnsi="Times New Roman" w:eastAsia="仿宋_GB2312" w:cs="Times New Roman"/>
          <w:color w:val="000000"/>
          <w:sz w:val="32"/>
          <w:szCs w:val="32"/>
          <w:vertAlign w:val="superscript"/>
        </w:rPr>
        <w:t>+</w:t>
      </w:r>
      <w:r>
        <w:rPr>
          <w:rFonts w:hint="default" w:ascii="Times New Roman" w:hAnsi="Times New Roman" w:eastAsia="仿宋_GB2312" w:cs="Times New Roman"/>
          <w:color w:val="000000"/>
          <w:sz w:val="32"/>
          <w:szCs w:val="32"/>
        </w:rPr>
        <w:t xml:space="preserve"> CAF作为肝细胞癌（HCC）免疫微环境重塑和免疫治疗疗效评估的核心影像生物标志，推动基于光学分子影像（尤其是光声显微成像，PAM）的活体可视化技术规范。通过建立FAP</w:t>
      </w:r>
      <w:r>
        <w:rPr>
          <w:rFonts w:hint="default" w:ascii="Times New Roman" w:hAnsi="Times New Roman" w:eastAsia="仿宋_GB2312" w:cs="Times New Roman"/>
          <w:color w:val="000000"/>
          <w:sz w:val="32"/>
          <w:szCs w:val="32"/>
          <w:vertAlign w:val="superscript"/>
        </w:rPr>
        <w:t>+</w:t>
      </w:r>
      <w:r>
        <w:rPr>
          <w:rFonts w:hint="default" w:ascii="Times New Roman" w:hAnsi="Times New Roman" w:eastAsia="仿宋_GB2312" w:cs="Times New Roman"/>
          <w:color w:val="000000"/>
          <w:sz w:val="32"/>
          <w:szCs w:val="32"/>
        </w:rPr>
        <w:t xml:space="preserve"> CAF在HCC中的空间分布特征分类体系，系统阐明其与免疫抑制微环境构建、免疫细胞浸润及免疫治疗疗效的关联机制。同步推进FAP靶向光学探针的研发与转化，形成“分子探针—单细胞成像—空间分布解析—免疫调控机制研究—疗效预测”的一体化技术路径，为HCC免疫治疗疗效评估与个体化治疗决策提供科学依据。</w:t>
      </w:r>
    </w:p>
    <w:p w14:paraId="52DD9191">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rPr>
        <w:t>1</w:t>
      </w:r>
      <w:r>
        <w:rPr>
          <w:rFonts w:hint="default" w:ascii="Times New Roman" w:hAnsi="Times New Roman" w:eastAsia="仿宋_GB2312" w:cs="Times New Roman"/>
          <w:b/>
          <w:bCs/>
          <w:color w:val="000000"/>
          <w:kern w:val="0"/>
          <w:sz w:val="32"/>
          <w:szCs w:val="32"/>
          <w:lang w:val="en-US" w:eastAsia="zh-CN"/>
        </w:rPr>
        <w:t>1</w:t>
      </w:r>
      <w:r>
        <w:rPr>
          <w:rFonts w:hint="default" w:ascii="Times New Roman" w:hAnsi="Times New Roman" w:eastAsia="仿宋_GB2312" w:cs="Times New Roman"/>
          <w:b/>
          <w:bCs/>
          <w:color w:val="000000"/>
          <w:kern w:val="0"/>
          <w:sz w:val="32"/>
          <w:szCs w:val="32"/>
        </w:rPr>
        <w:t>．肝细胞癌免疫微环境的医学影像人工智能预测模型研究</w:t>
      </w:r>
    </w:p>
    <w:p w14:paraId="1B34CAFF">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肝细胞癌免疫治疗疗效个体差异大、缺乏无创预后预测手段的临床难题，开展基于医学影像的肝细胞癌免疫微环境人工智能预测模型研究，通过深度学习与影像组学技术，挖掘影像特征与肿瘤免疫浸润的关联，构建可无创、动态评估免疫状态及预后的智能系统，为肝细胞癌个体化治疗策略提供影像学决策支持。</w:t>
      </w:r>
    </w:p>
    <w:p w14:paraId="3F242643">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rPr>
        <w:t>1</w:t>
      </w:r>
      <w:r>
        <w:rPr>
          <w:rFonts w:hint="default" w:ascii="Times New Roman" w:hAnsi="Times New Roman" w:eastAsia="仿宋_GB2312" w:cs="Times New Roman"/>
          <w:b/>
          <w:bCs/>
          <w:color w:val="000000"/>
          <w:kern w:val="0"/>
          <w:sz w:val="32"/>
          <w:szCs w:val="32"/>
          <w:lang w:val="en-US" w:eastAsia="zh-CN"/>
        </w:rPr>
        <w:t>2</w:t>
      </w:r>
      <w:r>
        <w:rPr>
          <w:rFonts w:hint="default" w:ascii="Times New Roman" w:hAnsi="Times New Roman" w:eastAsia="仿宋_GB2312" w:cs="Times New Roman"/>
          <w:b/>
          <w:bCs/>
          <w:color w:val="000000"/>
          <w:kern w:val="0"/>
          <w:sz w:val="32"/>
          <w:szCs w:val="32"/>
        </w:rPr>
        <w:t>．肿瘤相关巨噬细胞在直肠癌新辅助治疗抵抗中的作用研究</w:t>
      </w:r>
    </w:p>
    <w:p w14:paraId="3B112986">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以肿瘤相关巨噬细胞（TAMs）、肿瘤相关中性粒细胞（TANs）及趋化因子CXCL5为核心研究主体，围绕三者协同调控形成抑制性肿瘤微环境（TME）、介导新辅助放化疗抵抗的分子机制开展应用基础研究。重点解析CXCL5的异常表达调控机制，及其对TAMs向M2型极化、TANs招募聚集与表型转换的介导作用，阐明三者通过旁分泌炎症因子、蛋白酶类重塑胞外基质、诱导免疫抑制细胞浸润、阻断效应T细胞活化等途径，构建免疫抑制微环境并促进肿瘤细胞耐药的核心机理，挖掘调控该通路的关键分子靶点与信号网络。</w:t>
      </w:r>
      <w:r>
        <w:rPr>
          <w:rFonts w:hint="default" w:ascii="Times New Roman" w:hAnsi="Times New Roman" w:eastAsia="仿宋_GB2312" w:cs="Times New Roman"/>
          <w:color w:val="000000"/>
          <w:sz w:val="32"/>
          <w:szCs w:val="32"/>
          <w:lang w:val="en-US" w:eastAsia="zh-CN"/>
        </w:rPr>
        <w:t>探讨</w:t>
      </w:r>
      <w:r>
        <w:rPr>
          <w:rFonts w:hint="default" w:ascii="Times New Roman" w:hAnsi="Times New Roman" w:eastAsia="仿宋_GB2312" w:cs="Times New Roman"/>
          <w:color w:val="000000"/>
          <w:sz w:val="32"/>
          <w:szCs w:val="32"/>
        </w:rPr>
        <w:t>靶向CXCL5-TAMs/TANs轴、调控微环境免疫平衡、逆转肿瘤细胞耐药表型的潜在作用及分子基础，为优化直肠癌新辅助治疗方案提供</w:t>
      </w:r>
      <w:r>
        <w:rPr>
          <w:rFonts w:hint="default" w:ascii="Times New Roman" w:hAnsi="Times New Roman" w:eastAsia="仿宋_GB2312" w:cs="Times New Roman"/>
          <w:color w:val="000000"/>
          <w:sz w:val="32"/>
          <w:szCs w:val="32"/>
          <w:lang w:val="en-US" w:eastAsia="zh-CN"/>
        </w:rPr>
        <w:t>可参考的实验数据</w:t>
      </w:r>
      <w:r>
        <w:rPr>
          <w:rFonts w:hint="default" w:ascii="Times New Roman" w:hAnsi="Times New Roman" w:eastAsia="仿宋_GB2312" w:cs="Times New Roman"/>
          <w:color w:val="000000"/>
          <w:sz w:val="32"/>
          <w:szCs w:val="32"/>
        </w:rPr>
        <w:t>。</w:t>
      </w:r>
    </w:p>
    <w:p w14:paraId="2C789AAE">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rPr>
        <w:t>1</w:t>
      </w:r>
      <w:r>
        <w:rPr>
          <w:rFonts w:hint="default" w:ascii="Times New Roman" w:hAnsi="Times New Roman" w:eastAsia="仿宋_GB2312" w:cs="Times New Roman"/>
          <w:b/>
          <w:bCs/>
          <w:color w:val="000000"/>
          <w:kern w:val="0"/>
          <w:sz w:val="32"/>
          <w:szCs w:val="32"/>
          <w:lang w:val="en-US" w:eastAsia="zh-CN"/>
        </w:rPr>
        <w:t>3</w:t>
      </w:r>
      <w:r>
        <w:rPr>
          <w:rFonts w:hint="default" w:ascii="Times New Roman" w:hAnsi="Times New Roman" w:eastAsia="仿宋_GB2312" w:cs="Times New Roman"/>
          <w:b/>
          <w:bCs/>
          <w:color w:val="000000"/>
          <w:kern w:val="0"/>
          <w:sz w:val="32"/>
          <w:szCs w:val="32"/>
        </w:rPr>
        <w:t>．赣南脐橙活性成分基于肠肌轴抗肌少症机制研究</w:t>
      </w:r>
    </w:p>
    <w:p w14:paraId="6E2B60A3">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基于赣南地区脐橙种植面积广大，加工过程中产生大量皮渣，其中橙皮苷、柚皮苷等黄酮类成分具有抗炎活性，但其在肌肉萎缩防治中的作用不明。拟从脐橙皮渣中筛选活性组分，观察其对肌少症模型肠道屏障及骨骼肌代谢的影响，</w:t>
      </w:r>
      <w:r>
        <w:rPr>
          <w:rFonts w:hint="default" w:ascii="Times New Roman" w:hAnsi="Times New Roman" w:eastAsia="仿宋_GB2312" w:cs="Times New Roman"/>
          <w:color w:val="000000"/>
          <w:sz w:val="32"/>
          <w:szCs w:val="32"/>
          <w:lang w:val="en-US" w:eastAsia="zh-CN"/>
        </w:rPr>
        <w:t>探索活性组分与菌株代谢产物的关联，</w:t>
      </w:r>
      <w:r>
        <w:rPr>
          <w:rFonts w:hint="default" w:ascii="Times New Roman" w:hAnsi="Times New Roman" w:eastAsia="仿宋_GB2312" w:cs="Times New Roman"/>
          <w:color w:val="000000"/>
          <w:sz w:val="32"/>
          <w:szCs w:val="32"/>
        </w:rPr>
        <w:t>重点解析菌群代谢产物（如短链脂肪酸）如何通过调控靶点改善线粒体功能，明确“肠-肌轴”的具体调控节点，为赣南特色资源的药用开发提供实验依据。</w:t>
      </w:r>
    </w:p>
    <w:p w14:paraId="21C01D21">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rPr>
        <w:t>1</w:t>
      </w:r>
      <w:r>
        <w:rPr>
          <w:rFonts w:hint="default" w:ascii="Times New Roman" w:hAnsi="Times New Roman" w:eastAsia="仿宋_GB2312" w:cs="Times New Roman"/>
          <w:b/>
          <w:bCs/>
          <w:color w:val="000000"/>
          <w:kern w:val="0"/>
          <w:sz w:val="32"/>
          <w:szCs w:val="32"/>
          <w:lang w:val="en-US" w:eastAsia="zh-CN"/>
        </w:rPr>
        <w:t>4</w:t>
      </w:r>
      <w:r>
        <w:rPr>
          <w:rFonts w:hint="default" w:ascii="Times New Roman" w:hAnsi="Times New Roman" w:eastAsia="仿宋_GB2312" w:cs="Times New Roman"/>
          <w:b/>
          <w:bCs/>
          <w:color w:val="000000"/>
          <w:kern w:val="0"/>
          <w:sz w:val="32"/>
          <w:szCs w:val="32"/>
        </w:rPr>
        <w:t>．赣南苏区青少年情绪障碍肠脑轴机制与数字干预应用研究</w:t>
      </w:r>
    </w:p>
    <w:p w14:paraId="65C7CD76">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赣南苏区留守儿童及青少年情绪障碍高发但服务资源匮乏的突出问题，围绕“生物-心理-社会”整合框架，重点研究肠脑轴调控、神经环路异常与情绪障碍及非自杀性自伤（NSSI）的关联机制，并探究留守经历、家庭环境等地方性社会生态风险因素的交互作用。重点探索基于移动健康（mHealth）、虚拟现实（VR）等数字技术的心理评估与干预新方法，旨在构建</w:t>
      </w:r>
      <w:r>
        <w:rPr>
          <w:rFonts w:hint="default" w:ascii="Times New Roman" w:hAnsi="Times New Roman" w:eastAsia="仿宋_GB2312" w:cs="Times New Roman"/>
          <w:color w:val="000000"/>
          <w:sz w:val="32"/>
          <w:szCs w:val="32"/>
          <w:lang w:val="en-US" w:eastAsia="zh-CN"/>
        </w:rPr>
        <w:t>青少年情绪障碍的</w:t>
      </w:r>
      <w:r>
        <w:rPr>
          <w:rFonts w:hint="default" w:ascii="Times New Roman" w:hAnsi="Times New Roman" w:eastAsia="仿宋_GB2312" w:cs="Times New Roman"/>
          <w:color w:val="000000"/>
          <w:sz w:val="32"/>
          <w:szCs w:val="32"/>
        </w:rPr>
        <w:t>早期识别与干预模型，为本土化心理健康解决方案提供理论基础与技术原型。</w:t>
      </w:r>
    </w:p>
    <w:p w14:paraId="5FF09F2E">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rPr>
        <w:t>1</w:t>
      </w:r>
      <w:r>
        <w:rPr>
          <w:rFonts w:hint="default" w:ascii="Times New Roman" w:hAnsi="Times New Roman" w:eastAsia="仿宋_GB2312" w:cs="Times New Roman"/>
          <w:b/>
          <w:bCs/>
          <w:color w:val="000000"/>
          <w:kern w:val="0"/>
          <w:sz w:val="32"/>
          <w:szCs w:val="32"/>
          <w:lang w:val="en-US" w:eastAsia="zh-CN"/>
        </w:rPr>
        <w:t>5</w:t>
      </w:r>
      <w:r>
        <w:rPr>
          <w:rFonts w:hint="default" w:ascii="Times New Roman" w:hAnsi="Times New Roman" w:eastAsia="仿宋_GB2312" w:cs="Times New Roman"/>
          <w:b/>
          <w:bCs/>
          <w:color w:val="000000"/>
          <w:kern w:val="0"/>
          <w:sz w:val="32"/>
          <w:szCs w:val="32"/>
        </w:rPr>
        <w:t>．剖析鸢尾素-MARCH5通路在类风湿关节炎不同疾病阶段（起始与慢性化）中对滑膜细胞命运转化的影响</w:t>
      </w:r>
    </w:p>
    <w:p w14:paraId="019604DF">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研究旨在突破对鸢尾素-MARCH5通路在类风湿关节炎（RA）中的静态认知，聚焦其动态演变规律。通过构建RA不同疾病阶段（炎症起始、慢性增生、骨破坏）的动物模型与患者样本队列，利用单细胞及空间多组学技术，解析该通路相关滑膜细胞亚群的命运转化轨迹与免疫微环境重编程作用。结合体外阶段特异性微环境模拟，阐明该通路调控滑膜细胞向炎性、侵袭或衰老表型转变的关键节点。</w:t>
      </w:r>
      <w:r>
        <w:rPr>
          <w:rFonts w:hint="default" w:ascii="Times New Roman" w:hAnsi="Times New Roman" w:eastAsia="仿宋_GB2312" w:cs="Times New Roman"/>
          <w:color w:val="000000"/>
          <w:sz w:val="32"/>
          <w:szCs w:val="32"/>
          <w:lang w:val="en-US" w:eastAsia="zh-CN"/>
        </w:rPr>
        <w:t>探讨</w:t>
      </w:r>
      <w:r>
        <w:rPr>
          <w:rFonts w:hint="default" w:ascii="Times New Roman" w:hAnsi="Times New Roman" w:eastAsia="仿宋_GB2312" w:cs="Times New Roman"/>
          <w:color w:val="000000"/>
          <w:sz w:val="32"/>
          <w:szCs w:val="32"/>
        </w:rPr>
        <w:t>靶向该通路进行干预的最佳治疗时间窗，并探索其在老年RA合并代谢异常人群中的特征，为建立RA分期精准治疗策略及非药物干预新方案提供核心依据。</w:t>
      </w:r>
    </w:p>
    <w:p w14:paraId="1354CE02">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val="en-US" w:eastAsia="zh-CN"/>
        </w:rPr>
        <w:t>16</w:t>
      </w:r>
      <w:r>
        <w:rPr>
          <w:rFonts w:hint="default" w:ascii="Times New Roman" w:hAnsi="Times New Roman" w:eastAsia="仿宋_GB2312" w:cs="Times New Roman"/>
          <w:b/>
          <w:bCs/>
          <w:color w:val="000000"/>
          <w:kern w:val="0"/>
          <w:sz w:val="32"/>
          <w:szCs w:val="32"/>
        </w:rPr>
        <w:t>．新抗原疫苗联合NK细胞治疗肺癌的协同机制与临床研究</w:t>
      </w:r>
    </w:p>
    <w:p w14:paraId="154B266B">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sz w:val="32"/>
          <w:szCs w:val="32"/>
        </w:rPr>
        <w:t>研究提出将个体化肿瘤新抗原疫苗与同种异体NK细胞过继免疫治疗相结合的创新策略。在晚期肺癌动物模型中评估联合疗法的抗肿瘤效能，通过多组学技术深入解析二者协同作用的分子与免疫学机制。通过测序制备个体化新抗原疫苗，并序贯输注扩增活化的异体NK细胞，</w:t>
      </w:r>
      <w:r>
        <w:rPr>
          <w:rFonts w:hint="default" w:ascii="Times New Roman" w:hAnsi="Times New Roman" w:eastAsia="仿宋_GB2312" w:cs="Times New Roman"/>
          <w:color w:val="000000"/>
          <w:sz w:val="32"/>
          <w:szCs w:val="32"/>
          <w:lang w:val="en-US" w:eastAsia="zh-CN"/>
        </w:rPr>
        <w:t>评估</w:t>
      </w:r>
      <w:r>
        <w:rPr>
          <w:rFonts w:hint="default" w:ascii="Times New Roman" w:hAnsi="Times New Roman" w:eastAsia="仿宋_GB2312" w:cs="Times New Roman"/>
          <w:color w:val="000000"/>
          <w:sz w:val="32"/>
          <w:szCs w:val="32"/>
        </w:rPr>
        <w:t>联合方案的安全性/耐受性；次要终点包括客观缓解率（ORR）等初步疗效指标，并通过多时间点多组学分析动态监测免疫应答，为协同机制提供人体数据。</w:t>
      </w:r>
    </w:p>
    <w:p w14:paraId="744A4B82">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val="en-US" w:eastAsia="zh-CN"/>
        </w:rPr>
        <w:t>17</w:t>
      </w:r>
      <w:r>
        <w:rPr>
          <w:rFonts w:hint="default" w:ascii="Times New Roman" w:hAnsi="Times New Roman" w:eastAsia="仿宋_GB2312" w:cs="Times New Roman"/>
          <w:b/>
          <w:bCs/>
          <w:color w:val="000000"/>
          <w:kern w:val="0"/>
          <w:sz w:val="32"/>
          <w:szCs w:val="32"/>
        </w:rPr>
        <w:t>．赣州地区过敏性鼻炎的免疫机制及干预策略</w:t>
      </w:r>
    </w:p>
    <w:p w14:paraId="1C5B0D18">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sz w:val="32"/>
          <w:szCs w:val="32"/>
        </w:rPr>
        <w:t>研究将系统收集赣州地区过敏性鼻炎患者的临床样本与环境暴露数据，整合单细胞转录组测序、质谱流式等高通量技术，绘制反映地域气候-免疫互作特征的致病性固有免疫细胞（如固有淋巴细胞、嗜中性粒细胞、嗜酸性粒细胞等）动态图谱，揭示其活化、分介与组织驻留的关键分子通路。充分利用纳米材料（如脂质体、聚合物胶束）的靶向递送与控释优势，结合高通量筛选与计算模拟，从本土特色药用植物或已知化合物库中筛选具有免疫调节潜力的活性成分，形成“机制解析-风险预警-精准干预”的全链条研究范式，为降低赣南苏区过敏性鼻炎疾病负担提供科学依据。</w:t>
      </w:r>
    </w:p>
    <w:p w14:paraId="7EDCD0F8">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val="en-US" w:eastAsia="zh-CN"/>
        </w:rPr>
        <w:t>18</w:t>
      </w:r>
      <w:r>
        <w:rPr>
          <w:rFonts w:hint="default" w:ascii="Times New Roman" w:hAnsi="Times New Roman" w:eastAsia="仿宋_GB2312" w:cs="Times New Roman"/>
          <w:b/>
          <w:bCs/>
          <w:color w:val="000000"/>
          <w:kern w:val="0"/>
          <w:sz w:val="32"/>
          <w:szCs w:val="32"/>
        </w:rPr>
        <w:t>．糖基化修饰促进食管癌免疫逃逸机制</w:t>
      </w:r>
    </w:p>
    <w:p w14:paraId="02FC3D51">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研究聚焦食管鳞癌免疫治疗疗效差的临床难题，深入探索糖基化修饰在肿瘤免疫微环境重塑中的创新作用。通过整合代谢组学、表观遗传学与免疫多组学分析，结合基因编辑技术，系统性分析糖基化修饰通过稳定关键转录调控功能蛋白，促进肿瘤细胞的异常增殖、浸润及转移。糖基化修饰进一步驱动乳酸代谢的异常活化，诱导巨噬细胞M2极化和T细胞耗竭，从多维度揭示糖基化修饰在食管鳞癌免疫逃逸中的核心调控角色，构建从代谢重编程到表观遗传修饰，再到免疫细胞功能失调的完整分子网络，为</w:t>
      </w:r>
      <w:r>
        <w:rPr>
          <w:rFonts w:hint="default" w:ascii="Times New Roman" w:hAnsi="Times New Roman" w:eastAsia="仿宋_GB2312" w:cs="Times New Roman"/>
          <w:color w:val="000000"/>
          <w:sz w:val="32"/>
          <w:szCs w:val="32"/>
          <w:lang w:val="en-US" w:eastAsia="zh-CN"/>
        </w:rPr>
        <w:t>完善</w:t>
      </w:r>
      <w:r>
        <w:rPr>
          <w:rFonts w:hint="default" w:ascii="Times New Roman" w:hAnsi="Times New Roman" w:eastAsia="仿宋_GB2312" w:cs="Times New Roman"/>
          <w:color w:val="000000"/>
          <w:sz w:val="32"/>
          <w:szCs w:val="32"/>
        </w:rPr>
        <w:t>当前食管鳞癌免疫治疗</w:t>
      </w:r>
      <w:r>
        <w:rPr>
          <w:rFonts w:hint="default" w:ascii="Times New Roman" w:hAnsi="Times New Roman" w:eastAsia="仿宋_GB2312" w:cs="Times New Roman"/>
          <w:color w:val="000000"/>
          <w:sz w:val="32"/>
          <w:szCs w:val="32"/>
          <w:lang w:val="en-US" w:eastAsia="zh-CN"/>
        </w:rPr>
        <w:t>方案</w:t>
      </w:r>
      <w:r>
        <w:rPr>
          <w:rFonts w:hint="default" w:ascii="Times New Roman" w:hAnsi="Times New Roman" w:eastAsia="仿宋_GB2312" w:cs="Times New Roman"/>
          <w:color w:val="000000"/>
          <w:sz w:val="32"/>
          <w:szCs w:val="32"/>
        </w:rPr>
        <w:t>提供全新理论依据。</w:t>
      </w:r>
    </w:p>
    <w:p w14:paraId="530516EB">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val="en-US" w:eastAsia="zh-CN"/>
        </w:rPr>
        <w:t>19</w:t>
      </w:r>
      <w:r>
        <w:rPr>
          <w:rFonts w:hint="default" w:ascii="Times New Roman" w:hAnsi="Times New Roman" w:eastAsia="仿宋_GB2312" w:cs="Times New Roman"/>
          <w:b/>
          <w:bCs/>
          <w:color w:val="000000"/>
          <w:kern w:val="0"/>
          <w:sz w:val="32"/>
          <w:szCs w:val="32"/>
        </w:rPr>
        <w:t>．环境因素诱导血管炎症与动脉瘤的分子机制及干预策略</w:t>
      </w:r>
    </w:p>
    <w:p w14:paraId="04841BC5">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基于吸烟（如尼古丁）促进腹主动脉瘤（AAA）发生发展的关键病理环节，通过多组学技术解析尼古丁与泛素化酶USP15、炎症小体传感器蛋白NLRP3在介导血管炎症、代谢紊乱及细胞功能失调中的作用及其调控网络。通过生物模型验证尼古丁导致的血管平滑肌细胞（VSMC）炎症反应、细胞外基质降解及血管壁重构的分子机制。探索通过干预特异性信号通路（如USP15-NLRP3轴）或开发靶向递送系统，实现对血管炎症性疾病的早期干预与治疗，为AAA等血管退行性疾病的药物靶点发现与精准防治提供理论依据。</w:t>
      </w:r>
    </w:p>
    <w:p w14:paraId="37F1B0D4">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val="en-US" w:eastAsia="zh-CN"/>
        </w:rPr>
        <w:t>20</w:t>
      </w:r>
      <w:r>
        <w:rPr>
          <w:rFonts w:hint="default" w:ascii="Times New Roman" w:hAnsi="Times New Roman" w:eastAsia="仿宋_GB2312" w:cs="Times New Roman"/>
          <w:b/>
          <w:bCs/>
          <w:color w:val="000000"/>
          <w:kern w:val="0"/>
          <w:sz w:val="32"/>
          <w:szCs w:val="32"/>
        </w:rPr>
        <w:t>．慢性创面修复障碍中表皮稳态失衡的关键分子调控机制</w:t>
      </w:r>
    </w:p>
    <w:p w14:paraId="797BED7A">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围绕慢性创面再上皮化困难、修复过程停滞及治疗效果不佳等临床难题，依托临床样本、组学检测、细胞功能实验及动物创面模型，构建慢性创面表皮细胞稳态失衡研究体系。重点阐明慢性炎症、代谢紊乱和缺血缺氧微环境诱导表皮细胞应激失衡、增殖分化异常及迁移能力下降的关键机制，解析翻译调控因子在表皮稳态维持与创面修复失败中的作用。结合临床创面愈合结局，筛选并验证可反映修复障碍的核心分子标志物和潜在干预靶点，建立从分子机制到临床创面表型的关联模型，为慢性难愈创面精准治疗提供</w:t>
      </w:r>
      <w:r>
        <w:rPr>
          <w:rFonts w:hint="default" w:ascii="Times New Roman" w:hAnsi="Times New Roman" w:eastAsia="仿宋_GB2312" w:cs="Times New Roman"/>
          <w:color w:val="000000"/>
          <w:sz w:val="32"/>
          <w:szCs w:val="32"/>
          <w:lang w:val="en-US" w:eastAsia="zh-CN"/>
        </w:rPr>
        <w:t>科学数据</w:t>
      </w:r>
      <w:r>
        <w:rPr>
          <w:rFonts w:hint="default" w:ascii="Times New Roman" w:hAnsi="Times New Roman" w:eastAsia="仿宋_GB2312" w:cs="Times New Roman"/>
          <w:color w:val="000000"/>
          <w:sz w:val="32"/>
          <w:szCs w:val="32"/>
        </w:rPr>
        <w:t>。</w:t>
      </w:r>
    </w:p>
    <w:p w14:paraId="2572FF74">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val="en-US" w:eastAsia="zh-CN"/>
        </w:rPr>
        <w:t>21</w:t>
      </w:r>
      <w:r>
        <w:rPr>
          <w:rFonts w:hint="default" w:ascii="Times New Roman" w:hAnsi="Times New Roman" w:eastAsia="仿宋_GB2312" w:cs="Times New Roman"/>
          <w:b/>
          <w:bCs/>
          <w:color w:val="000000"/>
          <w:kern w:val="0"/>
          <w:sz w:val="32"/>
          <w:szCs w:val="32"/>
        </w:rPr>
        <w:t>．巨噬细胞脂肪酸代谢调控腹主动脉瘤的炎症机制与干预研究</w:t>
      </w:r>
    </w:p>
    <w:p w14:paraId="3F8347B1">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聚焦腹主动脉瘤（AAA）形成中巨噬细胞介导的炎症病理机制，整合单细胞测序与多组学技术，筛选并研究脂肪酸氧化代谢调控炎症反应的关键靶点与分子通路；结合AAA动物模型，阐明该代谢调控轴重塑血管炎症微环境的作用机制，为AAA的防治提供靶向脂肪酸代谢的精准干预策略与新靶点。</w:t>
      </w:r>
    </w:p>
    <w:p w14:paraId="141F6BDC">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rPr>
        <w:t>2</w:t>
      </w:r>
      <w:r>
        <w:rPr>
          <w:rFonts w:hint="default" w:ascii="Times New Roman" w:hAnsi="Times New Roman" w:eastAsia="仿宋_GB2312" w:cs="Times New Roman"/>
          <w:b/>
          <w:bCs/>
          <w:color w:val="000000"/>
          <w:kern w:val="0"/>
          <w:sz w:val="32"/>
          <w:szCs w:val="32"/>
          <w:lang w:val="en-US" w:eastAsia="zh-CN"/>
        </w:rPr>
        <w:t>2</w:t>
      </w:r>
      <w:r>
        <w:rPr>
          <w:rFonts w:hint="default" w:ascii="Times New Roman" w:hAnsi="Times New Roman" w:eastAsia="仿宋_GB2312" w:cs="Times New Roman"/>
          <w:b/>
          <w:bCs/>
          <w:color w:val="000000"/>
          <w:kern w:val="0"/>
          <w:sz w:val="32"/>
          <w:szCs w:val="32"/>
        </w:rPr>
        <w:t>．肿瘤诊疗过程中的放射性脑损伤防治研究</w:t>
      </w:r>
    </w:p>
    <w:p w14:paraId="66FF788B">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针对脑恶性肿瘤放疗所致放射性脑损伤，系统探明其病理机制并研发有效防护策略。采用单细胞多组学、转基因动物模型等前沿技术，深入解析放疗后脑微环境动态演变及相关神经胶质细胞损害的关键信号网络，筛选具有干预潜力的特异性分子靶点，支持基于新机制的新药研发或传统药物新用途开发，实现放疗同步脑功能保护。</w:t>
      </w:r>
    </w:p>
    <w:p w14:paraId="51FE30B1">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rPr>
        <w:t>2</w:t>
      </w:r>
      <w:r>
        <w:rPr>
          <w:rFonts w:hint="default" w:ascii="Times New Roman" w:hAnsi="Times New Roman" w:eastAsia="仿宋_GB2312" w:cs="Times New Roman"/>
          <w:b/>
          <w:bCs/>
          <w:color w:val="000000"/>
          <w:kern w:val="0"/>
          <w:sz w:val="32"/>
          <w:szCs w:val="32"/>
          <w:lang w:val="en-US" w:eastAsia="zh-CN"/>
        </w:rPr>
        <w:t>3</w:t>
      </w:r>
      <w:r>
        <w:rPr>
          <w:rFonts w:hint="default" w:ascii="Times New Roman" w:hAnsi="Times New Roman" w:eastAsia="仿宋_GB2312" w:cs="Times New Roman"/>
          <w:b/>
          <w:bCs/>
          <w:color w:val="000000"/>
          <w:kern w:val="0"/>
          <w:sz w:val="32"/>
          <w:szCs w:val="32"/>
        </w:rPr>
        <w:t>．减重手术调控肠道AKK菌-丁酸轴改善代谢的作用机制研究</w:t>
      </w:r>
    </w:p>
    <w:p w14:paraId="2EB0B5CC">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围绕袖状胃术后</w:t>
      </w:r>
      <w:r>
        <w:rPr>
          <w:rFonts w:hint="default" w:ascii="Times New Roman" w:hAnsi="Times New Roman" w:eastAsia="仿宋_GB2312" w:cs="Times New Roman"/>
          <w:color w:val="000000"/>
          <w:sz w:val="32"/>
          <w:szCs w:val="32"/>
          <w:lang w:val="en-US" w:eastAsia="zh-CN"/>
        </w:rPr>
        <w:t>肠道</w:t>
      </w:r>
      <w:r>
        <w:rPr>
          <w:rFonts w:hint="default" w:ascii="Times New Roman" w:hAnsi="Times New Roman" w:eastAsia="仿宋_GB2312" w:cs="Times New Roman"/>
          <w:color w:val="000000"/>
          <w:sz w:val="32"/>
          <w:szCs w:val="32"/>
        </w:rPr>
        <w:t>AKK菌介导代谢改善这一核心科学问题，研究术后富集产生的丁酸对脂肪巨噬细胞NLRP3炎症小体提升胰岛素敏感性、强化代谢获益的作用机制；验证AKK菌及其丁酸对增强袖状胃手术减重效果并维持长期代谢稳态的作用机制。</w:t>
      </w:r>
    </w:p>
    <w:p w14:paraId="16CF9D0A">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val="en-US" w:eastAsia="zh-CN"/>
        </w:rPr>
        <w:t>24</w:t>
      </w:r>
      <w:r>
        <w:rPr>
          <w:rFonts w:hint="default" w:ascii="Times New Roman" w:hAnsi="Times New Roman" w:eastAsia="仿宋_GB2312" w:cs="Times New Roman"/>
          <w:b/>
          <w:bCs/>
          <w:color w:val="000000"/>
          <w:kern w:val="0"/>
          <w:sz w:val="32"/>
          <w:szCs w:val="32"/>
        </w:rPr>
        <w:t>．心梗后EZH2介导Rack1甲基化与心肌纤维化的机制及诊疗应用研究</w:t>
      </w:r>
    </w:p>
    <w:p w14:paraId="4D98F841">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基于心梗后过度纤维化是导致心力衰竭的病理因素，通过Chip-seq测序、单细胞测序及多组学技术解析组蛋白甲基化修饰与心梗后心肌纤维化的互作网络，构建心肌梗死后心衰模型，结合功能及分子实验验证调控心梗后心衰的分子机制，</w:t>
      </w:r>
      <w:r>
        <w:rPr>
          <w:rFonts w:hint="default" w:ascii="Times New Roman" w:hAnsi="Times New Roman" w:eastAsia="仿宋_GB2312" w:cs="Times New Roman"/>
          <w:color w:val="000000"/>
          <w:sz w:val="32"/>
          <w:szCs w:val="32"/>
          <w:lang w:val="en-US" w:eastAsia="zh-CN"/>
        </w:rPr>
        <w:t>探讨</w:t>
      </w:r>
      <w:r>
        <w:rPr>
          <w:rFonts w:hint="default" w:ascii="Times New Roman" w:hAnsi="Times New Roman" w:eastAsia="仿宋_GB2312" w:cs="Times New Roman"/>
          <w:color w:val="000000"/>
          <w:sz w:val="32"/>
          <w:szCs w:val="32"/>
        </w:rPr>
        <w:t>基于心梗后心肌纤维化的精准治疗新策略</w:t>
      </w:r>
      <w:r>
        <w:rPr>
          <w:rFonts w:hint="default" w:ascii="Times New Roman" w:hAnsi="Times New Roman" w:eastAsia="仿宋_GB2312" w:cs="Times New Roman"/>
          <w:color w:val="000000"/>
          <w:sz w:val="32"/>
          <w:szCs w:val="32"/>
          <w:lang w:eastAsia="zh-CN"/>
        </w:rPr>
        <w:t>。</w:t>
      </w:r>
    </w:p>
    <w:p w14:paraId="23AE3FCD">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方正小标宋简体" w:cs="Times New Roman"/>
          <w:sz w:val="44"/>
          <w:szCs w:val="44"/>
        </w:rPr>
      </w:pPr>
      <w:r>
        <w:rPr>
          <w:rFonts w:hint="default" w:ascii="Times New Roman" w:hAnsi="Times New Roman" w:eastAsia="黑体" w:cs="Times New Roman"/>
          <w:color w:val="auto"/>
          <w:kern w:val="0"/>
          <w:sz w:val="32"/>
          <w:szCs w:val="32"/>
          <w:lang w:val="en-US" w:eastAsia="zh-CN"/>
        </w:rPr>
        <w:t>三、</w:t>
      </w:r>
      <w:r>
        <w:rPr>
          <w:rFonts w:hint="default" w:ascii="Times New Roman" w:hAnsi="Times New Roman" w:eastAsia="黑体" w:cs="Times New Roman"/>
          <w:color w:val="auto"/>
          <w:kern w:val="0"/>
          <w:sz w:val="32"/>
          <w:szCs w:val="32"/>
        </w:rPr>
        <w:t>省自然科学基金抚州创新发展联合基金</w:t>
      </w:r>
      <w:r>
        <w:rPr>
          <w:rFonts w:hint="default" w:ascii="Times New Roman" w:hAnsi="Times New Roman" w:eastAsia="黑体" w:cs="Times New Roman"/>
          <w:color w:val="auto"/>
          <w:kern w:val="0"/>
          <w:sz w:val="32"/>
          <w:szCs w:val="32"/>
          <w:lang w:val="en-US" w:eastAsia="zh-CN"/>
        </w:rPr>
        <w:t>指南</w:t>
      </w:r>
    </w:p>
    <w:p w14:paraId="3ED2F647">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lang w:eastAsia="zh-CN"/>
        </w:rPr>
        <w:t>（</w:t>
      </w:r>
      <w:r>
        <w:rPr>
          <w:rFonts w:hint="default" w:ascii="Times New Roman" w:hAnsi="Times New Roman" w:eastAsia="楷体_GB2312" w:cs="Times New Roman"/>
          <w:b/>
          <w:bCs/>
          <w:kern w:val="0"/>
          <w:sz w:val="32"/>
          <w:szCs w:val="32"/>
          <w:lang w:val="en-US" w:eastAsia="zh-CN"/>
        </w:rPr>
        <w:t>一</w:t>
      </w:r>
      <w:r>
        <w:rPr>
          <w:rFonts w:hint="default" w:ascii="Times New Roman" w:hAnsi="Times New Roman" w:eastAsia="楷体_GB2312" w:cs="Times New Roman"/>
          <w:b/>
          <w:bCs/>
          <w:kern w:val="0"/>
          <w:sz w:val="32"/>
          <w:szCs w:val="32"/>
          <w:lang w:eastAsia="zh-CN"/>
        </w:rPr>
        <w:t>）</w:t>
      </w:r>
      <w:r>
        <w:rPr>
          <w:rFonts w:hint="default" w:ascii="Times New Roman" w:hAnsi="Times New Roman" w:eastAsia="楷体_GB2312" w:cs="Times New Roman"/>
          <w:b/>
          <w:bCs/>
          <w:kern w:val="0"/>
          <w:sz w:val="32"/>
          <w:szCs w:val="32"/>
        </w:rPr>
        <w:t>先进制造领域</w:t>
      </w:r>
    </w:p>
    <w:p w14:paraId="2E9B4029">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1．锂离子电池的钢/铜复合均热板可控制造及</w:t>
      </w:r>
      <w:r>
        <w:rPr>
          <w:rFonts w:hint="default" w:ascii="Times New Roman" w:hAnsi="Times New Roman" w:eastAsia="仿宋_GB2312" w:cs="Times New Roman"/>
          <w:b/>
          <w:bCs/>
          <w:sz w:val="32"/>
          <w:szCs w:val="32"/>
          <w:lang w:val="en-US" w:eastAsia="zh-CN"/>
        </w:rPr>
        <w:t>散热机制</w:t>
      </w:r>
      <w:r>
        <w:rPr>
          <w:rFonts w:hint="default" w:ascii="Times New Roman" w:hAnsi="Times New Roman" w:eastAsia="仿宋_GB2312" w:cs="Times New Roman"/>
          <w:b/>
          <w:bCs/>
          <w:sz w:val="32"/>
          <w:szCs w:val="32"/>
        </w:rPr>
        <w:t>研究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地域特征和产业特色项目</w:t>
      </w:r>
      <w:r>
        <w:rPr>
          <w:rFonts w:hint="default" w:ascii="Times New Roman" w:hAnsi="Times New Roman" w:eastAsia="仿宋_GB2312" w:cs="Times New Roman"/>
          <w:b/>
          <w:bCs/>
          <w:sz w:val="32"/>
          <w:szCs w:val="32"/>
          <w:lang w:eastAsia="zh-CN"/>
        </w:rPr>
        <w:t>）</w:t>
      </w:r>
    </w:p>
    <w:p w14:paraId="4B190AA7">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针对新能源汽车锂离子电池的狭小空间内散热问题，开展钢/铜复合均热板关键技术研究。研究钢/铜复合板复合成形机理及变形协调机制；构建钢/铜复合均热板吸液芯微通道几何特征参数化模型，实现吸液芯及其形貌可控制造；建立锂</w:t>
      </w:r>
      <w:r>
        <w:rPr>
          <w:rFonts w:hint="default" w:ascii="Times New Roman" w:hAnsi="Times New Roman" w:eastAsia="仿宋_GB2312" w:cs="Times New Roman"/>
          <w:sz w:val="32"/>
          <w:szCs w:val="32"/>
          <w:lang w:val="en-US" w:eastAsia="zh-CN"/>
        </w:rPr>
        <w:t>离子</w:t>
      </w:r>
      <w:r>
        <w:rPr>
          <w:rFonts w:hint="default" w:ascii="Times New Roman" w:hAnsi="Times New Roman" w:eastAsia="仿宋_GB2312" w:cs="Times New Roman"/>
          <w:sz w:val="32"/>
          <w:szCs w:val="32"/>
        </w:rPr>
        <w:t>电池钢/铜复合均热板气-液两相热物理模型，研究振动工况下</w:t>
      </w:r>
      <w:r>
        <w:rPr>
          <w:rFonts w:hint="default" w:ascii="Times New Roman" w:hAnsi="Times New Roman" w:eastAsia="仿宋_GB2312" w:cs="Times New Roman"/>
          <w:sz w:val="32"/>
          <w:szCs w:val="32"/>
          <w:lang w:val="en-US" w:eastAsia="zh-CN"/>
        </w:rPr>
        <w:t>其</w:t>
      </w:r>
      <w:r>
        <w:rPr>
          <w:rFonts w:hint="default" w:ascii="Times New Roman" w:hAnsi="Times New Roman" w:eastAsia="仿宋_GB2312" w:cs="Times New Roman"/>
          <w:sz w:val="32"/>
          <w:szCs w:val="32"/>
        </w:rPr>
        <w:t>结构及表面形貌对动力电池传热传质的影响规律，为</w:t>
      </w:r>
      <w:r>
        <w:rPr>
          <w:rFonts w:hint="default" w:ascii="Times New Roman" w:hAnsi="Times New Roman" w:eastAsia="仿宋_GB2312" w:cs="Times New Roman"/>
          <w:sz w:val="32"/>
          <w:szCs w:val="32"/>
          <w:lang w:val="en-US" w:eastAsia="zh-CN"/>
        </w:rPr>
        <w:t>提升</w:t>
      </w:r>
      <w:r>
        <w:rPr>
          <w:rFonts w:hint="default" w:ascii="Times New Roman" w:hAnsi="Times New Roman" w:eastAsia="仿宋_GB2312" w:cs="Times New Roman"/>
          <w:sz w:val="32"/>
          <w:szCs w:val="32"/>
        </w:rPr>
        <w:t>新能源汽车锂离子电池散热</w:t>
      </w:r>
      <w:r>
        <w:rPr>
          <w:rFonts w:hint="default" w:ascii="Times New Roman" w:hAnsi="Times New Roman" w:eastAsia="仿宋_GB2312" w:cs="Times New Roman"/>
          <w:sz w:val="32"/>
          <w:szCs w:val="32"/>
          <w:lang w:val="en-US" w:eastAsia="zh-CN"/>
        </w:rPr>
        <w:t>效率</w:t>
      </w:r>
      <w:r>
        <w:rPr>
          <w:rFonts w:hint="default" w:ascii="Times New Roman" w:hAnsi="Times New Roman" w:eastAsia="仿宋_GB2312" w:cs="Times New Roman"/>
          <w:sz w:val="32"/>
          <w:szCs w:val="32"/>
        </w:rPr>
        <w:t>提供理论和技术支撑。</w:t>
      </w:r>
    </w:p>
    <w:p w14:paraId="223DD3DE">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．固态变压器</w:t>
      </w:r>
      <w:r>
        <w:rPr>
          <w:rFonts w:hint="default" w:ascii="Times New Roman" w:hAnsi="Times New Roman" w:eastAsia="仿宋_GB2312" w:cs="Times New Roman"/>
          <w:b/>
          <w:bCs/>
          <w:sz w:val="32"/>
          <w:szCs w:val="32"/>
          <w:lang w:val="en-US" w:eastAsia="zh-CN"/>
        </w:rPr>
        <w:t>失效机理与柔性调控</w:t>
      </w:r>
      <w:r>
        <w:rPr>
          <w:rFonts w:hint="default" w:ascii="Times New Roman" w:hAnsi="Times New Roman" w:eastAsia="仿宋_GB2312" w:cs="Times New Roman"/>
          <w:b/>
          <w:bCs/>
          <w:sz w:val="32"/>
          <w:szCs w:val="32"/>
        </w:rPr>
        <w:t>关键技术研究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地域特征和产业特色项目</w:t>
      </w:r>
      <w:r>
        <w:rPr>
          <w:rFonts w:hint="default" w:ascii="Times New Roman" w:hAnsi="Times New Roman" w:eastAsia="仿宋_GB2312" w:cs="Times New Roman"/>
          <w:b/>
          <w:bCs/>
          <w:sz w:val="32"/>
          <w:szCs w:val="32"/>
          <w:lang w:eastAsia="zh-CN"/>
        </w:rPr>
        <w:t>）</w:t>
      </w:r>
    </w:p>
    <w:p w14:paraId="48CBB74C">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研究高频、低损耗软磁材料在多物理场耦合下的损耗模型与失效机理，突破功率密度瓶颈；研究基于碳化硅器件的高频隔离混合拓扑及协同控制策略，实现功率柔性自主调控与故障隔离；研究中压直流端口混合拓扑，实现多端口功率柔性调配与故障隔离。</w:t>
      </w:r>
    </w:p>
    <w:p w14:paraId="67A1CB5A">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lang w:eastAsia="zh-CN"/>
        </w:rPr>
        <w:t>（</w:t>
      </w:r>
      <w:r>
        <w:rPr>
          <w:rFonts w:hint="default" w:ascii="Times New Roman" w:hAnsi="Times New Roman" w:eastAsia="楷体_GB2312" w:cs="Times New Roman"/>
          <w:b/>
          <w:bCs/>
          <w:kern w:val="0"/>
          <w:sz w:val="32"/>
          <w:szCs w:val="32"/>
          <w:lang w:val="en-US" w:eastAsia="zh-CN"/>
        </w:rPr>
        <w:t>二</w:t>
      </w:r>
      <w:r>
        <w:rPr>
          <w:rFonts w:hint="default" w:ascii="Times New Roman" w:hAnsi="Times New Roman" w:eastAsia="楷体_GB2312" w:cs="Times New Roman"/>
          <w:b/>
          <w:bCs/>
          <w:kern w:val="0"/>
          <w:sz w:val="32"/>
          <w:szCs w:val="32"/>
          <w:lang w:eastAsia="zh-CN"/>
        </w:rPr>
        <w:t>）</w:t>
      </w:r>
      <w:r>
        <w:rPr>
          <w:rFonts w:hint="default" w:ascii="Times New Roman" w:hAnsi="Times New Roman" w:eastAsia="楷体_GB2312" w:cs="Times New Roman"/>
          <w:b/>
          <w:bCs/>
          <w:kern w:val="0"/>
          <w:sz w:val="32"/>
          <w:szCs w:val="32"/>
          <w:lang w:val="en-US" w:eastAsia="zh-CN"/>
        </w:rPr>
        <w:t>新</w:t>
      </w:r>
      <w:r>
        <w:rPr>
          <w:rFonts w:hint="default" w:ascii="Times New Roman" w:hAnsi="Times New Roman" w:eastAsia="楷体_GB2312" w:cs="Times New Roman"/>
          <w:b/>
          <w:bCs/>
          <w:kern w:val="0"/>
          <w:sz w:val="32"/>
          <w:szCs w:val="32"/>
        </w:rPr>
        <w:t>材料领域</w:t>
      </w:r>
    </w:p>
    <w:p w14:paraId="24B2D7E5">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1．废弃铜渣调控沥青混合料结构稳定机制及其抗变形行为研究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地域特征和产业特色项目</w:t>
      </w:r>
      <w:r>
        <w:rPr>
          <w:rFonts w:hint="default" w:ascii="Times New Roman" w:hAnsi="Times New Roman" w:eastAsia="仿宋_GB2312" w:cs="Times New Roman"/>
          <w:b/>
          <w:bCs/>
          <w:sz w:val="32"/>
          <w:szCs w:val="32"/>
          <w:lang w:eastAsia="zh-CN"/>
        </w:rPr>
        <w:t>）</w:t>
      </w:r>
    </w:p>
    <w:p w14:paraId="2068833B">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针对沥青混合料高温刚度不足</w:t>
      </w:r>
      <w:r>
        <w:rPr>
          <w:rFonts w:hint="default" w:ascii="Times New Roman" w:hAnsi="Times New Roman" w:eastAsia="仿宋_GB2312" w:cs="Times New Roman"/>
          <w:sz w:val="32"/>
          <w:szCs w:val="32"/>
          <w:lang w:val="en-US" w:eastAsia="zh-CN"/>
        </w:rPr>
        <w:t>的问题</w:t>
      </w:r>
      <w:r>
        <w:rPr>
          <w:rFonts w:hint="default" w:ascii="Times New Roman" w:hAnsi="Times New Roman" w:eastAsia="仿宋_GB2312" w:cs="Times New Roman"/>
          <w:sz w:val="32"/>
          <w:szCs w:val="32"/>
        </w:rPr>
        <w:t>，研究水淬铜渣（粒径、形貌、加入量）对沥青混合料结构与性能的</w:t>
      </w:r>
      <w:r>
        <w:rPr>
          <w:rFonts w:hint="default" w:ascii="Times New Roman" w:hAnsi="Times New Roman" w:eastAsia="仿宋_GB2312" w:cs="Times New Roman"/>
          <w:sz w:val="32"/>
          <w:szCs w:val="32"/>
          <w:lang w:val="en-US" w:eastAsia="zh-CN"/>
        </w:rPr>
        <w:t>影响规律</w:t>
      </w:r>
      <w:r>
        <w:rPr>
          <w:rFonts w:hint="default" w:ascii="Times New Roman" w:hAnsi="Times New Roman" w:eastAsia="仿宋_GB2312" w:cs="Times New Roman"/>
          <w:sz w:val="32"/>
          <w:szCs w:val="32"/>
        </w:rPr>
        <w:t>；揭示铜渣颗粒骨架的形成规律；探讨铜渣与沥青界面行为及应力传递作用机理</w:t>
      </w:r>
      <w:r>
        <w:rPr>
          <w:rFonts w:hint="default" w:ascii="Times New Roman" w:hAnsi="Times New Roman" w:eastAsia="仿宋_GB2312" w:cs="Times New Roman"/>
          <w:sz w:val="32"/>
          <w:szCs w:val="32"/>
          <w:lang w:val="en-US" w:eastAsia="zh-CN"/>
        </w:rPr>
        <w:t>及其对沥青混合料结构稳定性的调控机制</w:t>
      </w:r>
      <w:r>
        <w:rPr>
          <w:rFonts w:hint="default" w:ascii="Times New Roman" w:hAnsi="Times New Roman" w:eastAsia="仿宋_GB2312" w:cs="Times New Roman"/>
          <w:sz w:val="32"/>
          <w:szCs w:val="32"/>
        </w:rPr>
        <w:t>，为固废资源化与沥青性能优化提供理论依据。</w:t>
      </w:r>
    </w:p>
    <w:p w14:paraId="69DC140F">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．低成本镁合金薄壁型材的组织调控与性能强化机理研究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地域特征和产业特色项目</w:t>
      </w:r>
      <w:r>
        <w:rPr>
          <w:rFonts w:hint="default" w:ascii="Times New Roman" w:hAnsi="Times New Roman" w:eastAsia="仿宋_GB2312" w:cs="Times New Roman"/>
          <w:b/>
          <w:bCs/>
          <w:sz w:val="32"/>
          <w:szCs w:val="32"/>
          <w:lang w:eastAsia="zh-CN"/>
        </w:rPr>
        <w:t>）</w:t>
      </w:r>
    </w:p>
    <w:p w14:paraId="1D8F09E0">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围绕低成本镁合金薄壁型材开展微合金化的成分对组织调控</w:t>
      </w:r>
      <w:r>
        <w:rPr>
          <w:rFonts w:hint="default" w:ascii="Times New Roman" w:hAnsi="Times New Roman" w:eastAsia="仿宋_GB2312" w:cs="Times New Roman"/>
          <w:sz w:val="32"/>
          <w:szCs w:val="32"/>
          <w:lang w:val="en-US" w:eastAsia="zh-CN"/>
        </w:rPr>
        <w:t>与性能强化</w:t>
      </w:r>
      <w:r>
        <w:rPr>
          <w:rFonts w:hint="default" w:ascii="Times New Roman" w:hAnsi="Times New Roman" w:eastAsia="仿宋_GB2312" w:cs="Times New Roman"/>
          <w:sz w:val="32"/>
          <w:szCs w:val="32"/>
        </w:rPr>
        <w:t>机制研究，探索热/力耦合条件下组织演变机理，揭示组织与性能（强度、耐蚀性与连接可靠性等）之间的内在关联规律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为低成本高性能镁合金薄壁型材研发提供理论依据。</w:t>
      </w:r>
    </w:p>
    <w:p w14:paraId="23BB9D6C">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．高纯铷绿色提纯的应用基础研究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地域特征和产业特色项目</w:t>
      </w:r>
      <w:r>
        <w:rPr>
          <w:rFonts w:hint="default" w:ascii="Times New Roman" w:hAnsi="Times New Roman" w:eastAsia="仿宋_GB2312" w:cs="Times New Roman"/>
          <w:b/>
          <w:bCs/>
          <w:sz w:val="32"/>
          <w:szCs w:val="32"/>
          <w:lang w:eastAsia="zh-CN"/>
        </w:rPr>
        <w:t>）</w:t>
      </w:r>
    </w:p>
    <w:p w14:paraId="6658D761">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cs="Times New Roman"/>
          <w:snapToGrid w:val="0"/>
          <w:color w:val="000000"/>
          <w:kern w:val="0"/>
          <w:sz w:val="24"/>
          <w:lang w:bidi="ar"/>
        </w:rPr>
      </w:pPr>
      <w:r>
        <w:rPr>
          <w:rFonts w:hint="default" w:ascii="Times New Roman" w:hAnsi="Times New Roman" w:eastAsia="仿宋_GB2312" w:cs="Times New Roman"/>
          <w:sz w:val="32"/>
          <w:szCs w:val="32"/>
        </w:rPr>
        <w:t>针对量子计算的高纯铷（≥99.99%）需求，围绕钠/铯杂质脱除及节能降污，揭示铷-钠-铯三元体系气液相平衡规律，建立</w:t>
      </w:r>
      <w:r>
        <w:rPr>
          <w:rFonts w:hint="default" w:ascii="Times New Roman" w:hAnsi="Times New Roman" w:eastAsia="仿宋_GB2312" w:cs="Times New Roman"/>
          <w:sz w:val="32"/>
          <w:szCs w:val="32"/>
          <w:lang w:val="en-US" w:eastAsia="zh-CN"/>
        </w:rPr>
        <w:t>钠/铯</w:t>
      </w:r>
      <w:r>
        <w:rPr>
          <w:rFonts w:hint="default" w:ascii="Times New Roman" w:hAnsi="Times New Roman" w:eastAsia="仿宋_GB2312" w:cs="Times New Roman"/>
          <w:sz w:val="32"/>
          <w:szCs w:val="32"/>
        </w:rPr>
        <w:t>杂质定向迁移理论模型；</w:t>
      </w:r>
      <w:r>
        <w:rPr>
          <w:rFonts w:hint="default" w:ascii="Times New Roman" w:hAnsi="Times New Roman" w:eastAsia="仿宋_GB2312" w:cs="Times New Roman"/>
          <w:sz w:val="32"/>
          <w:szCs w:val="32"/>
          <w:lang w:val="en-US" w:eastAsia="zh-CN"/>
        </w:rPr>
        <w:t>阐明</w:t>
      </w:r>
      <w:r>
        <w:rPr>
          <w:rFonts w:hint="default" w:ascii="Times New Roman" w:hAnsi="Times New Roman" w:eastAsia="仿宋_GB2312" w:cs="Times New Roman"/>
          <w:sz w:val="32"/>
          <w:szCs w:val="32"/>
        </w:rPr>
        <w:t>低能耗绿色铷提纯机制，为4N级铷绿色制备提供理论基础。</w:t>
      </w:r>
    </w:p>
    <w:p w14:paraId="142BFECF">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lang w:eastAsia="zh-CN"/>
        </w:rPr>
        <w:t>（</w:t>
      </w:r>
      <w:r>
        <w:rPr>
          <w:rFonts w:hint="default" w:ascii="Times New Roman" w:hAnsi="Times New Roman" w:eastAsia="楷体_GB2312" w:cs="Times New Roman"/>
          <w:b/>
          <w:bCs/>
          <w:kern w:val="0"/>
          <w:sz w:val="32"/>
          <w:szCs w:val="32"/>
          <w:lang w:val="en-US" w:eastAsia="zh-CN"/>
        </w:rPr>
        <w:t>三</w:t>
      </w:r>
      <w:r>
        <w:rPr>
          <w:rFonts w:hint="default" w:ascii="Times New Roman" w:hAnsi="Times New Roman" w:eastAsia="楷体_GB2312" w:cs="Times New Roman"/>
          <w:b/>
          <w:bCs/>
          <w:kern w:val="0"/>
          <w:sz w:val="32"/>
          <w:szCs w:val="32"/>
          <w:lang w:eastAsia="zh-CN"/>
        </w:rPr>
        <w:t>）</w:t>
      </w:r>
      <w:r>
        <w:rPr>
          <w:rFonts w:hint="default" w:ascii="Times New Roman" w:hAnsi="Times New Roman" w:eastAsia="楷体_GB2312" w:cs="Times New Roman"/>
          <w:b/>
          <w:bCs/>
          <w:kern w:val="0"/>
          <w:sz w:val="32"/>
          <w:szCs w:val="32"/>
        </w:rPr>
        <w:t>医药和食品领域</w:t>
      </w:r>
    </w:p>
    <w:p w14:paraId="094F6C58">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．恶性脑肿瘤特异性标志物的挖掘及其临床转化研究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地域特征和产业特色项目</w:t>
      </w:r>
      <w:r>
        <w:rPr>
          <w:rFonts w:hint="default" w:ascii="Times New Roman" w:hAnsi="Times New Roman" w:eastAsia="仿宋_GB2312" w:cs="Times New Roman"/>
          <w:b/>
          <w:bCs/>
          <w:sz w:val="32"/>
          <w:szCs w:val="32"/>
          <w:lang w:eastAsia="zh-CN"/>
        </w:rPr>
        <w:t>）</w:t>
      </w:r>
    </w:p>
    <w:p w14:paraId="6D31E4E6">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针对</w:t>
      </w:r>
      <w:r>
        <w:rPr>
          <w:rFonts w:hint="default" w:ascii="Times New Roman" w:hAnsi="Times New Roman" w:eastAsia="仿宋_GB2312" w:cs="Times New Roman"/>
          <w:sz w:val="32"/>
          <w:szCs w:val="32"/>
          <w:lang w:val="en-US" w:eastAsia="zh-CN"/>
        </w:rPr>
        <w:t>不可手术早期</w:t>
      </w:r>
      <w:r>
        <w:rPr>
          <w:rFonts w:hint="default" w:ascii="Times New Roman" w:hAnsi="Times New Roman" w:eastAsia="仿宋_GB2312" w:cs="Times New Roman"/>
          <w:sz w:val="32"/>
          <w:szCs w:val="32"/>
        </w:rPr>
        <w:t>恶性脑肿瘤的分子异质性，亟需</w:t>
      </w:r>
      <w:r>
        <w:rPr>
          <w:rFonts w:hint="default" w:ascii="Times New Roman" w:hAnsi="Times New Roman" w:eastAsia="仿宋_GB2312" w:cs="Times New Roman"/>
          <w:sz w:val="32"/>
          <w:szCs w:val="32"/>
          <w:lang w:val="en-US" w:eastAsia="zh-CN"/>
        </w:rPr>
        <w:t>高</w:t>
      </w:r>
      <w:r>
        <w:rPr>
          <w:rFonts w:hint="default" w:ascii="Times New Roman" w:hAnsi="Times New Roman" w:eastAsia="仿宋_GB2312" w:cs="Times New Roman"/>
          <w:sz w:val="32"/>
          <w:szCs w:val="32"/>
        </w:rPr>
        <w:t>特异性高标志物诊断和指导精准治疗。通过整合基因组学、</w:t>
      </w:r>
      <w:r>
        <w:rPr>
          <w:rFonts w:hint="default" w:ascii="Times New Roman" w:hAnsi="Times New Roman" w:eastAsia="仿宋_GB2312" w:cs="Times New Roman"/>
          <w:sz w:val="32"/>
          <w:szCs w:val="32"/>
          <w:lang w:val="en-US" w:eastAsia="zh-CN"/>
        </w:rPr>
        <w:t>转录组学、</w:t>
      </w:r>
      <w:r>
        <w:rPr>
          <w:rFonts w:hint="default" w:ascii="Times New Roman" w:hAnsi="Times New Roman" w:eastAsia="仿宋_GB2312" w:cs="Times New Roman"/>
          <w:sz w:val="32"/>
          <w:szCs w:val="32"/>
        </w:rPr>
        <w:t>蛋白组学等多组学分析和</w:t>
      </w:r>
      <w:r>
        <w:rPr>
          <w:rFonts w:hint="default" w:ascii="Times New Roman" w:hAnsi="Times New Roman" w:eastAsia="仿宋_GB2312" w:cs="Times New Roman"/>
          <w:sz w:val="32"/>
          <w:szCs w:val="32"/>
          <w:lang w:val="en-US" w:eastAsia="zh-CN"/>
        </w:rPr>
        <w:t>单细胞测序，以及</w:t>
      </w:r>
      <w:r>
        <w:rPr>
          <w:rFonts w:hint="default" w:ascii="Times New Roman" w:hAnsi="Times New Roman" w:eastAsia="仿宋_GB2312" w:cs="Times New Roman"/>
          <w:sz w:val="32"/>
          <w:szCs w:val="32"/>
        </w:rPr>
        <w:t>AI生物信息学挖掘，</w:t>
      </w:r>
      <w:bookmarkStart w:id="2" w:name="_Hlk195216491"/>
      <w:r>
        <w:rPr>
          <w:rFonts w:hint="default" w:ascii="Times New Roman" w:hAnsi="Times New Roman" w:eastAsia="仿宋_GB2312" w:cs="Times New Roman"/>
          <w:sz w:val="32"/>
          <w:szCs w:val="32"/>
        </w:rPr>
        <w:t>鉴定具有高特异性/敏感性的新型分子标志物，并探索其调控肿瘤进展的分子机制</w:t>
      </w:r>
      <w:bookmarkEnd w:id="2"/>
      <w:r>
        <w:rPr>
          <w:rFonts w:hint="default" w:ascii="Times New Roman" w:hAnsi="Times New Roman" w:eastAsia="仿宋_GB2312" w:cs="Times New Roman"/>
          <w:sz w:val="32"/>
          <w:szCs w:val="32"/>
        </w:rPr>
        <w:t>，以提高标志物</w:t>
      </w:r>
      <w:r>
        <w:rPr>
          <w:rFonts w:hint="default" w:ascii="Times New Roman" w:hAnsi="Times New Roman" w:eastAsia="仿宋_GB2312" w:cs="Times New Roman"/>
          <w:sz w:val="32"/>
          <w:szCs w:val="32"/>
          <w:lang w:val="en-US" w:eastAsia="zh-CN"/>
        </w:rPr>
        <w:t>的精准度</w:t>
      </w:r>
      <w:r>
        <w:rPr>
          <w:rFonts w:hint="default" w:ascii="Times New Roman" w:hAnsi="Times New Roman" w:eastAsia="仿宋_GB2312" w:cs="Times New Roman"/>
          <w:sz w:val="32"/>
          <w:szCs w:val="32"/>
        </w:rPr>
        <w:t>，</w:t>
      </w:r>
      <w:bookmarkStart w:id="3" w:name="_Hlk195216773"/>
      <w:r>
        <w:rPr>
          <w:rFonts w:hint="default" w:ascii="Times New Roman" w:hAnsi="Times New Roman" w:eastAsia="仿宋_GB2312" w:cs="Times New Roman"/>
          <w:sz w:val="32"/>
          <w:szCs w:val="32"/>
        </w:rPr>
        <w:t>开发</w:t>
      </w:r>
      <w:r>
        <w:rPr>
          <w:rFonts w:hint="default" w:ascii="Times New Roman" w:hAnsi="Times New Roman" w:eastAsia="仿宋_GB2312" w:cs="Times New Roman"/>
          <w:sz w:val="32"/>
          <w:szCs w:val="32"/>
          <w:lang w:val="en-US" w:eastAsia="zh-CN"/>
        </w:rPr>
        <w:t>高效</w:t>
      </w:r>
      <w:r>
        <w:rPr>
          <w:rFonts w:hint="default" w:ascii="Times New Roman" w:hAnsi="Times New Roman" w:eastAsia="仿宋_GB2312" w:cs="Times New Roman"/>
          <w:sz w:val="32"/>
          <w:szCs w:val="32"/>
        </w:rPr>
        <w:t>的诊断/预后临床评估工具。</w:t>
      </w:r>
      <w:bookmarkEnd w:id="3"/>
    </w:p>
    <w:p w14:paraId="21D0AE56">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黑体" w:cs="Times New Roman"/>
          <w:kern w:val="0"/>
          <w:sz w:val="32"/>
          <w:szCs w:val="32"/>
        </w:rPr>
      </w:pPr>
      <w:r>
        <w:rPr>
          <w:rFonts w:hint="default" w:ascii="Times New Roman" w:hAnsi="Times New Roman" w:eastAsia="楷体_GB2312" w:cs="Times New Roman"/>
          <w:b/>
          <w:bCs/>
          <w:kern w:val="0"/>
          <w:sz w:val="32"/>
          <w:szCs w:val="32"/>
          <w:lang w:eastAsia="zh-CN"/>
        </w:rPr>
        <w:t>（</w:t>
      </w:r>
      <w:r>
        <w:rPr>
          <w:rFonts w:hint="default" w:ascii="Times New Roman" w:hAnsi="Times New Roman" w:eastAsia="楷体_GB2312" w:cs="Times New Roman"/>
          <w:b/>
          <w:bCs/>
          <w:kern w:val="0"/>
          <w:sz w:val="32"/>
          <w:szCs w:val="32"/>
          <w:lang w:val="en-US" w:eastAsia="zh-CN"/>
        </w:rPr>
        <w:t>四</w:t>
      </w:r>
      <w:r>
        <w:rPr>
          <w:rFonts w:hint="default" w:ascii="Times New Roman" w:hAnsi="Times New Roman" w:eastAsia="楷体_GB2312" w:cs="Times New Roman"/>
          <w:b/>
          <w:bCs/>
          <w:kern w:val="0"/>
          <w:sz w:val="32"/>
          <w:szCs w:val="32"/>
          <w:lang w:eastAsia="zh-CN"/>
        </w:rPr>
        <w:t>）</w:t>
      </w:r>
      <w:r>
        <w:rPr>
          <w:rFonts w:hint="default" w:ascii="Times New Roman" w:hAnsi="Times New Roman" w:eastAsia="楷体_GB2312" w:cs="Times New Roman"/>
          <w:b/>
          <w:bCs/>
          <w:kern w:val="0"/>
          <w:sz w:val="32"/>
          <w:szCs w:val="32"/>
        </w:rPr>
        <w:t>电子信息领域</w:t>
      </w:r>
    </w:p>
    <w:p w14:paraId="3EF4BAF5">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1．面向边缘终端的</w:t>
      </w:r>
      <w:r>
        <w:rPr>
          <w:rFonts w:hint="default" w:ascii="Times New Roman" w:hAnsi="Times New Roman" w:eastAsia="仿宋_GB2312" w:cs="Times New Roman"/>
          <w:b/>
          <w:bCs/>
          <w:sz w:val="32"/>
          <w:szCs w:val="32"/>
          <w:lang w:val="en-US" w:eastAsia="zh-CN"/>
        </w:rPr>
        <w:t>智能</w:t>
      </w:r>
      <w:r>
        <w:rPr>
          <w:rFonts w:hint="default" w:ascii="Times New Roman" w:hAnsi="Times New Roman" w:eastAsia="仿宋_GB2312" w:cs="Times New Roman"/>
          <w:b/>
          <w:bCs/>
          <w:sz w:val="32"/>
          <w:szCs w:val="32"/>
        </w:rPr>
        <w:t>感知与多模态大模型主动服务关键技术</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地域特征和产业特色项目</w:t>
      </w:r>
      <w:r>
        <w:rPr>
          <w:rFonts w:hint="default" w:ascii="Times New Roman" w:hAnsi="Times New Roman" w:eastAsia="仿宋_GB2312" w:cs="Times New Roman"/>
          <w:b/>
          <w:bCs/>
          <w:sz w:val="32"/>
          <w:szCs w:val="32"/>
          <w:lang w:eastAsia="zh-CN"/>
        </w:rPr>
        <w:t>）</w:t>
      </w:r>
    </w:p>
    <w:p w14:paraId="51C82EE6">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针对边缘终端认知升级共性需求，开展资源受限下多模态感知大模型轻量化部署</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推理、用户意图隐式表征与服务生成等研究，构建轻量化认知计算与服务决策框架，为边缘智能服务研究提供科学依据和关键技术支撑。</w:t>
      </w:r>
    </w:p>
    <w:p w14:paraId="5DE37C1D">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2．新能源汽车大型构件机器人柔性作业的视-力觉智能协同控制研究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地域特征和产业特色项目</w:t>
      </w:r>
      <w:r>
        <w:rPr>
          <w:rFonts w:hint="default" w:ascii="Times New Roman" w:hAnsi="Times New Roman" w:eastAsia="仿宋_GB2312" w:cs="Times New Roman"/>
          <w:b/>
          <w:bCs/>
          <w:sz w:val="32"/>
          <w:szCs w:val="32"/>
          <w:lang w:eastAsia="zh-CN"/>
        </w:rPr>
        <w:t>）</w:t>
      </w:r>
    </w:p>
    <w:p w14:paraId="5C0DAB94">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针对新能源汽车大型构件机器人作业中视-力觉信息实时协同难题，探究多模态感知信号融合机理，构建“全局视觉引导-局部力觉精调”的分层协同控制模型，提出基于深度强化学习的机器人在线自</w:t>
      </w:r>
      <w:r>
        <w:rPr>
          <w:rFonts w:hint="default" w:ascii="Times New Roman" w:hAnsi="Times New Roman" w:eastAsia="仿宋_GB2312" w:cs="Times New Roman"/>
          <w:sz w:val="32"/>
          <w:szCs w:val="32"/>
          <w:lang w:val="en-US" w:eastAsia="zh-CN"/>
        </w:rPr>
        <w:t>适应控制算法</w:t>
      </w:r>
      <w:r>
        <w:rPr>
          <w:rFonts w:hint="default" w:ascii="Times New Roman" w:hAnsi="Times New Roman" w:eastAsia="仿宋_GB2312" w:cs="Times New Roman"/>
          <w:sz w:val="32"/>
          <w:szCs w:val="32"/>
        </w:rPr>
        <w:t>，解决复杂曲面场景下机器人稳定与高效率作业难题。</w:t>
      </w:r>
    </w:p>
    <w:p w14:paraId="5F975351">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3．电力设备运行状态多模态感知与故障诊断关键技术研究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地域特征和产业特色项目</w:t>
      </w:r>
      <w:r>
        <w:rPr>
          <w:rFonts w:hint="default" w:ascii="Times New Roman" w:hAnsi="Times New Roman" w:eastAsia="仿宋_GB2312" w:cs="Times New Roman"/>
          <w:b/>
          <w:bCs/>
          <w:sz w:val="32"/>
          <w:szCs w:val="32"/>
          <w:lang w:eastAsia="zh-CN"/>
        </w:rPr>
        <w:t>）</w:t>
      </w:r>
    </w:p>
    <w:p w14:paraId="3AB8FD90">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针对电力设备故障识别依赖单源信号、定位精度不足及复杂工况下预测困难等问题，研究基于声-光-电-热等多模态数据融合的故障识别方法，发展高精度故障点定位技术，建立多运行工况与环境因素耦合作用的故障预测模型，实现电力设备</w:t>
      </w:r>
      <w:r>
        <w:rPr>
          <w:rFonts w:hint="default" w:ascii="Times New Roman" w:hAnsi="Times New Roman" w:eastAsia="仿宋_GB2312" w:cs="Times New Roman"/>
          <w:sz w:val="32"/>
          <w:szCs w:val="32"/>
          <w:lang w:val="en-US" w:eastAsia="zh-CN"/>
        </w:rPr>
        <w:t>故障</w:t>
      </w:r>
      <w:r>
        <w:rPr>
          <w:rFonts w:hint="default" w:ascii="Times New Roman" w:hAnsi="Times New Roman" w:eastAsia="仿宋_GB2312" w:cs="Times New Roman"/>
          <w:sz w:val="32"/>
          <w:szCs w:val="32"/>
        </w:rPr>
        <w:t>精准感知、定位与预测。</w:t>
      </w:r>
    </w:p>
    <w:p w14:paraId="78717963">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lang w:eastAsia="zh-CN"/>
        </w:rPr>
        <w:t>（</w:t>
      </w:r>
      <w:r>
        <w:rPr>
          <w:rFonts w:hint="default" w:ascii="Times New Roman" w:hAnsi="Times New Roman" w:eastAsia="楷体_GB2312" w:cs="Times New Roman"/>
          <w:b/>
          <w:bCs/>
          <w:kern w:val="0"/>
          <w:sz w:val="32"/>
          <w:szCs w:val="32"/>
          <w:lang w:val="en-US" w:eastAsia="zh-CN"/>
        </w:rPr>
        <w:t>五</w:t>
      </w:r>
      <w:r>
        <w:rPr>
          <w:rFonts w:hint="default" w:ascii="Times New Roman" w:hAnsi="Times New Roman" w:eastAsia="楷体_GB2312" w:cs="Times New Roman"/>
          <w:b/>
          <w:bCs/>
          <w:kern w:val="0"/>
          <w:sz w:val="32"/>
          <w:szCs w:val="32"/>
          <w:lang w:eastAsia="zh-CN"/>
        </w:rPr>
        <w:t>）</w:t>
      </w:r>
      <w:r>
        <w:rPr>
          <w:rFonts w:hint="default" w:ascii="Times New Roman" w:hAnsi="Times New Roman" w:eastAsia="楷体_GB2312" w:cs="Times New Roman"/>
          <w:b/>
          <w:bCs/>
          <w:kern w:val="0"/>
          <w:sz w:val="32"/>
          <w:szCs w:val="32"/>
        </w:rPr>
        <w:t>特色农业和深加工领域</w:t>
      </w:r>
    </w:p>
    <w:p w14:paraId="392C7ED7">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．南丰蜜广耐黄龙病基因的挖掘</w:t>
      </w:r>
      <w:r>
        <w:rPr>
          <w:rFonts w:hint="default" w:ascii="Times New Roman" w:hAnsi="Times New Roman" w:eastAsia="仿宋_GB2312" w:cs="Times New Roman"/>
          <w:b/>
          <w:bCs/>
          <w:sz w:val="32"/>
          <w:szCs w:val="32"/>
          <w:lang w:val="en-US" w:eastAsia="zh-CN"/>
        </w:rPr>
        <w:t>及</w:t>
      </w:r>
      <w:r>
        <w:rPr>
          <w:rFonts w:hint="default" w:ascii="Times New Roman" w:hAnsi="Times New Roman" w:eastAsia="仿宋_GB2312" w:cs="Times New Roman"/>
          <w:b/>
          <w:bCs/>
          <w:sz w:val="32"/>
          <w:szCs w:val="32"/>
        </w:rPr>
        <w:t>分子机制的研究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地域特征和产业特色项目</w:t>
      </w:r>
      <w:r>
        <w:rPr>
          <w:rFonts w:hint="default" w:ascii="Times New Roman" w:hAnsi="Times New Roman" w:eastAsia="仿宋_GB2312" w:cs="Times New Roman"/>
          <w:b/>
          <w:bCs/>
          <w:sz w:val="32"/>
          <w:szCs w:val="32"/>
          <w:lang w:eastAsia="zh-CN"/>
        </w:rPr>
        <w:t>）</w:t>
      </w:r>
    </w:p>
    <w:p w14:paraId="2C0BF2D1">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方正小标宋简体" w:cs="Times New Roman"/>
          <w:sz w:val="44"/>
          <w:szCs w:val="44"/>
        </w:rPr>
      </w:pPr>
      <w:r>
        <w:rPr>
          <w:rFonts w:hint="default" w:ascii="Times New Roman" w:hAnsi="Times New Roman" w:eastAsia="仿宋_GB2312" w:cs="Times New Roman"/>
          <w:sz w:val="32"/>
          <w:szCs w:val="32"/>
        </w:rPr>
        <w:t>针对南丰密广耐黄龙病及保果机制不清的科学问题，研究</w:t>
      </w:r>
      <w:r>
        <w:rPr>
          <w:rFonts w:hint="default" w:ascii="Times New Roman" w:hAnsi="Times New Roman" w:eastAsia="仿宋_GB2312" w:cs="Times New Roman"/>
          <w:sz w:val="32"/>
          <w:szCs w:val="32"/>
          <w:lang w:val="en-US" w:eastAsia="zh-CN"/>
        </w:rPr>
        <w:t>耐病与感病植柱内黄龙病菌的时空动态分布，明确</w:t>
      </w:r>
      <w:r>
        <w:rPr>
          <w:rFonts w:hint="default" w:ascii="Times New Roman" w:hAnsi="Times New Roman" w:eastAsia="仿宋_GB2312" w:cs="Times New Roman"/>
          <w:sz w:val="32"/>
          <w:szCs w:val="32"/>
        </w:rPr>
        <w:t>黄龙病菌含量与</w:t>
      </w:r>
      <w:r>
        <w:rPr>
          <w:rFonts w:hint="default" w:ascii="Times New Roman" w:hAnsi="Times New Roman" w:eastAsia="仿宋_GB2312" w:cs="Times New Roman"/>
          <w:sz w:val="32"/>
          <w:szCs w:val="32"/>
          <w:lang w:val="en-US" w:eastAsia="zh-CN"/>
        </w:rPr>
        <w:t>挂果的关系，</w:t>
      </w:r>
      <w:r>
        <w:rPr>
          <w:rFonts w:hint="default" w:ascii="Times New Roman" w:hAnsi="Times New Roman" w:eastAsia="仿宋_GB2312" w:cs="Times New Roman"/>
          <w:sz w:val="32"/>
          <w:szCs w:val="32"/>
        </w:rPr>
        <w:t>通过基因组测序和多组学研究，挖掘出</w:t>
      </w:r>
      <w:r>
        <w:rPr>
          <w:rFonts w:hint="default" w:ascii="Times New Roman" w:hAnsi="Times New Roman" w:eastAsia="仿宋_GB2312" w:cs="Times New Roman"/>
          <w:sz w:val="32"/>
          <w:szCs w:val="32"/>
          <w:lang w:val="en-US" w:eastAsia="zh-CN"/>
        </w:rPr>
        <w:t>耐病、保果</w:t>
      </w:r>
      <w:r>
        <w:rPr>
          <w:rFonts w:hint="default" w:ascii="Times New Roman" w:hAnsi="Times New Roman" w:eastAsia="仿宋_GB2312" w:cs="Times New Roman"/>
          <w:sz w:val="32"/>
          <w:szCs w:val="32"/>
        </w:rPr>
        <w:t>关键基因，并解析其调控机制。</w:t>
      </w:r>
    </w:p>
    <w:p w14:paraId="426EE2C6">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四、省自然科学基金气象联合基金指南</w:t>
      </w:r>
    </w:p>
    <w:p w14:paraId="242BA7BF">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lang w:eastAsia="zh-CN"/>
        </w:rPr>
        <w:t>（</w:t>
      </w:r>
      <w:r>
        <w:rPr>
          <w:rFonts w:hint="default" w:ascii="Times New Roman" w:hAnsi="Times New Roman" w:eastAsia="楷体_GB2312" w:cs="Times New Roman"/>
          <w:b/>
          <w:bCs/>
          <w:color w:val="000000"/>
          <w:sz w:val="32"/>
          <w:szCs w:val="32"/>
          <w:lang w:val="en-US" w:eastAsia="zh-CN"/>
        </w:rPr>
        <w:t>一</w:t>
      </w:r>
      <w:r>
        <w:rPr>
          <w:rFonts w:hint="default" w:ascii="Times New Roman" w:hAnsi="Times New Roman" w:eastAsia="楷体_GB2312" w:cs="Times New Roman"/>
          <w:b/>
          <w:bCs/>
          <w:color w:val="000000"/>
          <w:sz w:val="32"/>
          <w:szCs w:val="32"/>
          <w:lang w:eastAsia="zh-CN"/>
        </w:rPr>
        <w:t>）</w:t>
      </w:r>
      <w:r>
        <w:rPr>
          <w:rFonts w:hint="default" w:ascii="Times New Roman" w:hAnsi="Times New Roman" w:eastAsia="楷体_GB2312" w:cs="Times New Roman"/>
          <w:b/>
          <w:bCs/>
          <w:color w:val="000000"/>
          <w:sz w:val="32"/>
          <w:szCs w:val="32"/>
        </w:rPr>
        <w:t>重点项目</w:t>
      </w:r>
    </w:p>
    <w:p w14:paraId="123D436F">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灾害性天气监测预警预报理论及方法</w:t>
      </w:r>
    </w:p>
    <w:p w14:paraId="243B8AEA">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rPr>
        <w:t>江西丘陵山地复杂地形下暴雨触发机制及关键预报方法研究</w:t>
      </w:r>
    </w:p>
    <w:p w14:paraId="4821DED6">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0"/>
          <w:sz w:val="32"/>
          <w:szCs w:val="32"/>
        </w:rPr>
        <w:t>针对江西丘陵山地暴雨发生机理认识不清、精细化预报能力薄弱等问题，开展</w:t>
      </w:r>
      <w:r>
        <w:rPr>
          <w:rFonts w:hint="default" w:ascii="Times New Roman" w:hAnsi="Times New Roman" w:eastAsia="仿宋_GB2312" w:cs="Times New Roman"/>
          <w:kern w:val="0"/>
          <w:sz w:val="32"/>
          <w:szCs w:val="32"/>
        </w:rPr>
        <w:t>江西暴雨事件的时空分布、暴雨中心与地形的空间耦合规律分析；基于稠密观测资料和高分辨率数值预报模式，研究江西地形作用下的暴雨形成、演变过程和对流风暴三维精细结构；探究山地丘陵等复杂下垫面对暴雨影响的机制和贡献；建立不同天气环流背景下地形作用对暴雨发生发展及增幅的预报着眼点和预报概念模型，构建山地暴雨客观预报方法。</w:t>
      </w:r>
    </w:p>
    <w:p w14:paraId="386B1AA0">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spacing w:val="-6"/>
          <w:kern w:val="0"/>
          <w:sz w:val="32"/>
          <w:szCs w:val="32"/>
        </w:rPr>
      </w:pPr>
      <w:r>
        <w:rPr>
          <w:rFonts w:hint="default" w:ascii="Times New Roman" w:hAnsi="Times New Roman" w:eastAsia="仿宋_GB2312" w:cs="Times New Roman"/>
          <w:b/>
          <w:bCs/>
          <w:color w:val="000000"/>
          <w:kern w:val="0"/>
          <w:sz w:val="32"/>
          <w:szCs w:val="32"/>
          <w:lang w:eastAsia="zh-CN"/>
        </w:rPr>
        <w:t>（</w:t>
      </w:r>
      <w:r>
        <w:rPr>
          <w:rFonts w:hint="default" w:ascii="Times New Roman" w:hAnsi="Times New Roman" w:eastAsia="仿宋_GB2312" w:cs="Times New Roman"/>
          <w:b/>
          <w:bCs/>
          <w:color w:val="000000"/>
          <w:kern w:val="0"/>
          <w:sz w:val="32"/>
          <w:szCs w:val="32"/>
          <w:lang w:val="en-US" w:eastAsia="zh-CN"/>
        </w:rPr>
        <w:t>2</w:t>
      </w:r>
      <w:r>
        <w:rPr>
          <w:rFonts w:hint="default" w:ascii="Times New Roman" w:hAnsi="Times New Roman" w:eastAsia="仿宋_GB2312" w:cs="Times New Roman"/>
          <w:b/>
          <w:bCs/>
          <w:color w:val="000000"/>
          <w:kern w:val="0"/>
          <w:sz w:val="32"/>
          <w:szCs w:val="32"/>
          <w:lang w:eastAsia="zh-CN"/>
        </w:rPr>
        <w:t>）</w:t>
      </w:r>
      <w:r>
        <w:rPr>
          <w:rFonts w:hint="default" w:ascii="Times New Roman" w:hAnsi="Times New Roman" w:eastAsia="仿宋_GB2312" w:cs="Times New Roman"/>
          <w:b/>
          <w:bCs/>
          <w:color w:val="000000"/>
          <w:spacing w:val="-6"/>
          <w:kern w:val="0"/>
          <w:sz w:val="32"/>
          <w:szCs w:val="32"/>
        </w:rPr>
        <w:t>南昌大城市极端大风形成的微小尺度特征及预警方法研究</w:t>
      </w:r>
    </w:p>
    <w:p w14:paraId="18741CE6">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针对大城市复杂下垫面极端大风形成机理认识不清、监测诊断及预警技术缺乏的问题，聚焦南昌大城市区域，分析复杂下垫面极端大风形成的微小尺度特征与触发机制；研究复杂下垫面与边界层过程、中小尺度对流系统间的非线性</w:t>
      </w:r>
      <w:r>
        <w:rPr>
          <w:rFonts w:hint="default" w:ascii="Times New Roman" w:hAnsi="Times New Roman" w:eastAsia="仿宋_GB2312" w:cs="Times New Roman"/>
          <w:color w:val="000000"/>
          <w:kern w:val="0"/>
          <w:sz w:val="32"/>
          <w:szCs w:val="32"/>
          <w:lang w:val="en-US" w:eastAsia="zh-CN"/>
        </w:rPr>
        <w:t>交互</w:t>
      </w:r>
      <w:r>
        <w:rPr>
          <w:rFonts w:hint="default" w:ascii="Times New Roman" w:hAnsi="Times New Roman" w:eastAsia="仿宋_GB2312" w:cs="Times New Roman"/>
          <w:color w:val="000000"/>
          <w:kern w:val="0"/>
          <w:sz w:val="32"/>
          <w:szCs w:val="32"/>
        </w:rPr>
        <w:t>作用，探究大城市热力、动力效应对对流触发、组织形态及大风强度的演变特征；基于高分辨率数值模式和人工智能技术</w:t>
      </w:r>
      <w:r>
        <w:rPr>
          <w:rFonts w:hint="default" w:ascii="Times New Roman" w:hAnsi="Times New Roman" w:eastAsia="仿宋_GB2312" w:cs="Times New Roman"/>
          <w:color w:val="000000"/>
          <w:kern w:val="0"/>
          <w:sz w:val="32"/>
          <w:szCs w:val="32"/>
          <w:lang w:val="en-US" w:eastAsia="zh-CN"/>
        </w:rPr>
        <w:t>融合</w:t>
      </w:r>
      <w:r>
        <w:rPr>
          <w:rFonts w:hint="default" w:ascii="Times New Roman" w:hAnsi="Times New Roman" w:eastAsia="仿宋_GB2312" w:cs="Times New Roman"/>
          <w:color w:val="000000"/>
          <w:kern w:val="0"/>
          <w:sz w:val="32"/>
          <w:szCs w:val="32"/>
        </w:rPr>
        <w:t>，建立面向大城市极端大风的短临</w:t>
      </w:r>
      <w:r>
        <w:rPr>
          <w:rFonts w:hint="default" w:ascii="Times New Roman" w:hAnsi="Times New Roman" w:eastAsia="仿宋_GB2312" w:cs="Times New Roman"/>
          <w:color w:val="000000"/>
          <w:kern w:val="0"/>
          <w:sz w:val="32"/>
          <w:szCs w:val="32"/>
          <w:lang w:val="en-US" w:eastAsia="zh-CN"/>
        </w:rPr>
        <w:t>预报</w:t>
      </w:r>
      <w:r>
        <w:rPr>
          <w:rFonts w:hint="default" w:ascii="Times New Roman" w:hAnsi="Times New Roman" w:eastAsia="仿宋_GB2312" w:cs="Times New Roman"/>
          <w:color w:val="000000"/>
          <w:kern w:val="0"/>
          <w:sz w:val="32"/>
          <w:szCs w:val="32"/>
        </w:rPr>
        <w:t>模型和百米级</w:t>
      </w:r>
      <w:r>
        <w:rPr>
          <w:rFonts w:hint="default" w:ascii="Times New Roman" w:hAnsi="Times New Roman" w:eastAsia="仿宋_GB2312" w:cs="Times New Roman"/>
          <w:color w:val="000000"/>
          <w:kern w:val="0"/>
          <w:sz w:val="32"/>
          <w:szCs w:val="32"/>
          <w:lang w:val="en-US" w:eastAsia="zh-CN"/>
        </w:rPr>
        <w:t>滚动更新</w:t>
      </w:r>
      <w:r>
        <w:rPr>
          <w:rFonts w:hint="default" w:ascii="Times New Roman" w:hAnsi="Times New Roman" w:eastAsia="仿宋_GB2312" w:cs="Times New Roman"/>
          <w:color w:val="000000"/>
          <w:kern w:val="0"/>
          <w:sz w:val="32"/>
          <w:szCs w:val="32"/>
        </w:rPr>
        <w:t>预报产品。</w:t>
      </w:r>
    </w:p>
    <w:p w14:paraId="0EA3207A">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气候预测与气候变化理论及方法</w:t>
      </w:r>
    </w:p>
    <w:p w14:paraId="13BFA99C">
      <w:pPr>
        <w:keepNext w:val="0"/>
        <w:keepLines w:val="0"/>
        <w:pageBreakBefore w:val="0"/>
        <w:widowControl w:val="0"/>
        <w:kinsoku/>
        <w:overflowPunct/>
        <w:topLinePunct w:val="0"/>
        <w:bidi w:val="0"/>
        <w:spacing w:line="600" w:lineRule="exact"/>
        <w:ind w:firstLine="643" w:firstLineChars="200"/>
        <w:outlineLvl w:val="1"/>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eastAsia="zh-CN"/>
        </w:rPr>
        <w:t>（</w:t>
      </w:r>
      <w:r>
        <w:rPr>
          <w:rFonts w:hint="default" w:ascii="Times New Roman" w:hAnsi="Times New Roman" w:eastAsia="仿宋_GB2312" w:cs="Times New Roman"/>
          <w:b/>
          <w:bCs/>
          <w:color w:val="000000"/>
          <w:kern w:val="0"/>
          <w:sz w:val="32"/>
          <w:szCs w:val="32"/>
          <w:lang w:val="en-US" w:eastAsia="zh-CN"/>
        </w:rPr>
        <w:t>1</w:t>
      </w:r>
      <w:r>
        <w:rPr>
          <w:rFonts w:hint="default" w:ascii="Times New Roman" w:hAnsi="Times New Roman" w:eastAsia="仿宋_GB2312" w:cs="Times New Roman"/>
          <w:b/>
          <w:bCs/>
          <w:color w:val="000000"/>
          <w:kern w:val="0"/>
          <w:sz w:val="32"/>
          <w:szCs w:val="32"/>
          <w:lang w:eastAsia="zh-CN"/>
        </w:rPr>
        <w:t>）</w:t>
      </w:r>
      <w:r>
        <w:rPr>
          <w:rFonts w:hint="default" w:ascii="Times New Roman" w:hAnsi="Times New Roman" w:eastAsia="仿宋_GB2312" w:cs="Times New Roman"/>
          <w:b/>
          <w:bCs/>
          <w:color w:val="000000"/>
          <w:kern w:val="0"/>
          <w:sz w:val="32"/>
          <w:szCs w:val="32"/>
        </w:rPr>
        <w:t>江西省极端降水智能预测和风险预警技术研究</w:t>
      </w:r>
    </w:p>
    <w:p w14:paraId="456A7917">
      <w:pPr>
        <w:keepNext w:val="0"/>
        <w:keepLines w:val="0"/>
        <w:pageBreakBefore w:val="0"/>
        <w:widowControl w:val="0"/>
        <w:kinsoku/>
        <w:overflowPunct/>
        <w:topLinePunct w:val="0"/>
        <w:bidi w:val="0"/>
        <w:spacing w:line="600" w:lineRule="exact"/>
        <w:ind w:firstLine="640" w:firstLineChars="200"/>
        <w:outlineLvl w:val="1"/>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聚焦江西主汛期极端降水事件次季节预测及早期风险预警技术难题，构建重大暴雨灾害数据集，解析历史相似模态与演变特征；探究异构下垫面与多尺度承灾体对强降水的非线性响应机制，建立极端降水致灾风险的演化阈值指标；研究智能气候预测大模型在江西自适应与迁移学习的算法，利用条件对抗生成网络（cGAN）与时空Transformer等架构深度挖掘降水</w:t>
      </w:r>
      <w:r>
        <w:rPr>
          <w:rFonts w:hint="default" w:ascii="Times New Roman" w:hAnsi="Times New Roman" w:eastAsia="仿宋_GB2312" w:cs="Times New Roman"/>
          <w:color w:val="000000"/>
          <w:kern w:val="0"/>
          <w:sz w:val="32"/>
          <w:szCs w:val="32"/>
          <w:lang w:val="en-US" w:eastAsia="zh-CN"/>
        </w:rPr>
        <w:t>及影响因子的</w:t>
      </w:r>
      <w:r>
        <w:rPr>
          <w:rFonts w:hint="default" w:ascii="Times New Roman" w:hAnsi="Times New Roman" w:eastAsia="仿宋_GB2312" w:cs="Times New Roman"/>
          <w:color w:val="000000"/>
          <w:kern w:val="0"/>
          <w:sz w:val="32"/>
          <w:szCs w:val="32"/>
        </w:rPr>
        <w:t>时空关联性，构建次季节极端降水</w:t>
      </w:r>
      <w:r>
        <w:rPr>
          <w:rFonts w:hint="default" w:ascii="Times New Roman" w:hAnsi="Times New Roman" w:eastAsia="仿宋_GB2312" w:cs="Times New Roman"/>
          <w:color w:val="000000"/>
          <w:kern w:val="0"/>
          <w:sz w:val="32"/>
          <w:szCs w:val="32"/>
          <w:lang w:val="en-US" w:eastAsia="zh-CN"/>
        </w:rPr>
        <w:t>预测</w:t>
      </w:r>
      <w:r>
        <w:rPr>
          <w:rFonts w:hint="default" w:ascii="Times New Roman" w:hAnsi="Times New Roman" w:eastAsia="仿宋_GB2312" w:cs="Times New Roman"/>
          <w:color w:val="000000"/>
          <w:kern w:val="0"/>
          <w:sz w:val="32"/>
          <w:szCs w:val="32"/>
        </w:rPr>
        <w:t>的</w:t>
      </w:r>
      <w:r>
        <w:rPr>
          <w:rFonts w:hint="default" w:ascii="Times New Roman" w:hAnsi="Times New Roman" w:eastAsia="仿宋_GB2312" w:cs="Times New Roman"/>
          <w:color w:val="000000"/>
          <w:kern w:val="0"/>
          <w:sz w:val="32"/>
          <w:szCs w:val="32"/>
          <w:lang w:val="en-US" w:eastAsia="zh-CN"/>
        </w:rPr>
        <w:t>深度学习</w:t>
      </w:r>
      <w:r>
        <w:rPr>
          <w:rFonts w:hint="default" w:ascii="Times New Roman" w:hAnsi="Times New Roman" w:eastAsia="仿宋_GB2312" w:cs="Times New Roman"/>
          <w:color w:val="000000"/>
          <w:kern w:val="0"/>
          <w:sz w:val="32"/>
          <w:szCs w:val="32"/>
        </w:rPr>
        <w:t>模型；基于国内外主流次季节数值模式开展智能集成技术研究，提升</w:t>
      </w:r>
      <w:r>
        <w:rPr>
          <w:rFonts w:hint="default" w:ascii="Times New Roman" w:hAnsi="Times New Roman" w:eastAsia="仿宋_GB2312" w:cs="Times New Roman"/>
          <w:color w:val="000000"/>
          <w:kern w:val="0"/>
          <w:sz w:val="32"/>
          <w:szCs w:val="32"/>
          <w:lang w:val="en-US" w:eastAsia="zh-CN"/>
        </w:rPr>
        <w:t>次季节</w:t>
      </w:r>
      <w:r>
        <w:rPr>
          <w:rFonts w:hint="default" w:ascii="Times New Roman" w:hAnsi="Times New Roman" w:eastAsia="仿宋_GB2312" w:cs="Times New Roman"/>
          <w:color w:val="000000"/>
          <w:kern w:val="0"/>
          <w:sz w:val="32"/>
          <w:szCs w:val="32"/>
        </w:rPr>
        <w:t>极端降水的预测</w:t>
      </w:r>
      <w:r>
        <w:rPr>
          <w:rFonts w:hint="default" w:ascii="Times New Roman" w:hAnsi="Times New Roman" w:eastAsia="仿宋_GB2312" w:cs="Times New Roman"/>
          <w:color w:val="000000"/>
          <w:kern w:val="0"/>
          <w:sz w:val="32"/>
          <w:szCs w:val="32"/>
          <w:lang w:val="en-US" w:eastAsia="zh-CN"/>
        </w:rPr>
        <w:t>技</w:t>
      </w:r>
      <w:r>
        <w:rPr>
          <w:rFonts w:hint="default" w:ascii="Times New Roman" w:hAnsi="Times New Roman" w:eastAsia="仿宋_GB2312" w:cs="Times New Roman"/>
          <w:color w:val="000000"/>
          <w:kern w:val="0"/>
          <w:sz w:val="32"/>
          <w:szCs w:val="32"/>
        </w:rPr>
        <w:t>能。</w:t>
      </w:r>
    </w:p>
    <w:p w14:paraId="26755917">
      <w:pPr>
        <w:keepNext w:val="0"/>
        <w:keepLines w:val="0"/>
        <w:pageBreakBefore w:val="0"/>
        <w:widowControl w:val="0"/>
        <w:kinsoku/>
        <w:overflowPunct/>
        <w:topLinePunct w:val="0"/>
        <w:bidi w:val="0"/>
        <w:spacing w:line="600" w:lineRule="exact"/>
        <w:ind w:firstLine="643" w:firstLineChars="200"/>
        <w:outlineLvl w:val="1"/>
        <w:rPr>
          <w:rFonts w:hint="default" w:ascii="Times New Roman" w:hAnsi="Times New Roman" w:eastAsia="仿宋_GB2312" w:cs="Times New Roman"/>
          <w:b/>
          <w:bCs/>
          <w:color w:val="000000"/>
          <w:spacing w:val="-6"/>
          <w:kern w:val="0"/>
          <w:sz w:val="32"/>
          <w:szCs w:val="32"/>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pacing w:val="-6"/>
          <w:sz w:val="32"/>
          <w:szCs w:val="32"/>
        </w:rPr>
        <w:t>江西雨季结束期关键环流影响因子和延伸期预报技术研究</w:t>
      </w:r>
    </w:p>
    <w:p w14:paraId="1B55209B">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针对江西雨季结束期预测难题，分南、北片区构建历年雨季结束期数据集，探究江西雨季结束期的气候特点、变化规律特征等；聚焦雨季结束异常偏早年、异常偏晚年和正常年，围绕关键环流影响因子及其活动特征、配置关系等，构建雨季结束期预报技术指标和概念模型；利用模式降尺度技术，研发15⁓30天江西雨季结束期的延伸期预报技术。</w:t>
      </w:r>
    </w:p>
    <w:p w14:paraId="5E15E493">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生态与农业气象理论及方法</w:t>
      </w:r>
    </w:p>
    <w:p w14:paraId="4590B6F5">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lang w:eastAsia="zh-CN"/>
        </w:rPr>
        <w:t>（</w:t>
      </w:r>
      <w:r>
        <w:rPr>
          <w:rFonts w:hint="default" w:ascii="Times New Roman" w:hAnsi="Times New Roman" w:eastAsia="仿宋_GB2312" w:cs="Times New Roman"/>
          <w:b/>
          <w:bCs/>
          <w:color w:val="000000"/>
          <w:sz w:val="32"/>
          <w:szCs w:val="32"/>
          <w:lang w:val="en-US" w:eastAsia="zh-CN"/>
        </w:rPr>
        <w:t>1</w:t>
      </w:r>
      <w:r>
        <w:rPr>
          <w:rFonts w:hint="default" w:ascii="Times New Roman" w:hAnsi="Times New Roman" w:eastAsia="仿宋_GB2312" w:cs="Times New Roman"/>
          <w:b/>
          <w:bCs/>
          <w:color w:val="000000"/>
          <w:sz w:val="32"/>
          <w:szCs w:val="32"/>
          <w:lang w:eastAsia="zh-CN"/>
        </w:rPr>
        <w:t>）</w:t>
      </w:r>
      <w:r>
        <w:rPr>
          <w:rFonts w:hint="default" w:ascii="Times New Roman" w:hAnsi="Times New Roman" w:eastAsia="仿宋_GB2312" w:cs="Times New Roman"/>
          <w:b/>
          <w:bCs/>
          <w:color w:val="000000"/>
          <w:sz w:val="32"/>
          <w:szCs w:val="32"/>
        </w:rPr>
        <w:t>基于特征降雨驱动的鄱阳湖流域农业面源污染预报关键技术研究</w:t>
      </w:r>
    </w:p>
    <w:p w14:paraId="73B15791">
      <w:pPr>
        <w:keepNext w:val="0"/>
        <w:keepLines w:val="0"/>
        <w:pageBreakBefore w:val="0"/>
        <w:widowControl w:val="0"/>
        <w:kinsoku/>
        <w:overflowPunct/>
        <w:topLinePunct w:val="0"/>
        <w:bidi w:val="0"/>
        <w:adjustRightInd w:val="0"/>
        <w:snapToGrid w:val="0"/>
        <w:spacing w:line="600" w:lineRule="exact"/>
        <w:ind w:firstLine="640" w:firstLineChars="200"/>
        <w:outlineLvl w:val="1"/>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针对江西省特征降雨驱动面源污染的精度、时效不足等问题，基于气象、地理、环境等多源数据，构建鄱阳湖流域农业面源污染机理模型；结合物理建模与机器学习技术，构建“时序－事件”双驱动预测框架，模拟氮磷污染物随径流的累积、迁移过程；建立注意力机制强化极端降雨响应措施，实现降雨径流作用下氮磷污染产生、迁移及长期演变的动态解析与精准预测。</w:t>
      </w:r>
    </w:p>
    <w:p w14:paraId="2CA03885">
      <w:pPr>
        <w:keepNext w:val="0"/>
        <w:keepLines w:val="0"/>
        <w:pageBreakBefore w:val="0"/>
        <w:widowControl w:val="0"/>
        <w:kinsoku/>
        <w:overflowPunct/>
        <w:topLinePunct w:val="0"/>
        <w:bidi w:val="0"/>
        <w:spacing w:line="600" w:lineRule="exact"/>
        <w:ind w:firstLine="643" w:firstLineChars="200"/>
        <w:outlineLvl w:val="2"/>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eastAsia="zh-CN"/>
        </w:rPr>
        <w:t>（</w:t>
      </w:r>
      <w:r>
        <w:rPr>
          <w:rFonts w:hint="default" w:ascii="Times New Roman" w:hAnsi="Times New Roman" w:eastAsia="仿宋_GB2312" w:cs="Times New Roman"/>
          <w:b/>
          <w:bCs/>
          <w:color w:val="000000"/>
          <w:kern w:val="0"/>
          <w:sz w:val="32"/>
          <w:szCs w:val="32"/>
          <w:lang w:val="en-US" w:eastAsia="zh-CN"/>
        </w:rPr>
        <w:t>2</w:t>
      </w:r>
      <w:r>
        <w:rPr>
          <w:rFonts w:hint="default" w:ascii="Times New Roman" w:hAnsi="Times New Roman" w:eastAsia="仿宋_GB2312" w:cs="Times New Roman"/>
          <w:b/>
          <w:bCs/>
          <w:color w:val="000000"/>
          <w:kern w:val="0"/>
          <w:sz w:val="32"/>
          <w:szCs w:val="32"/>
          <w:lang w:eastAsia="zh-CN"/>
        </w:rPr>
        <w:t>）</w:t>
      </w:r>
      <w:r>
        <w:rPr>
          <w:rFonts w:hint="default" w:ascii="Times New Roman" w:hAnsi="Times New Roman" w:eastAsia="仿宋_GB2312" w:cs="Times New Roman"/>
          <w:b/>
          <w:bCs/>
          <w:color w:val="000000"/>
          <w:kern w:val="0"/>
          <w:sz w:val="32"/>
          <w:szCs w:val="32"/>
        </w:rPr>
        <w:t>江西省主要柑橘品种（南丰蜜橘、赣南脐橙）品质形成的气象驱动机制与气候适应性调控技术研究</w:t>
      </w:r>
    </w:p>
    <w:p w14:paraId="6EBB71E9">
      <w:pPr>
        <w:keepNext w:val="0"/>
        <w:keepLines w:val="0"/>
        <w:pageBreakBefore w:val="0"/>
        <w:widowControl w:val="0"/>
        <w:kinsoku/>
        <w:overflowPunct/>
        <w:topLinePunct w:val="0"/>
        <w:bidi w:val="0"/>
        <w:adjustRightInd w:val="0"/>
        <w:snapToGrid w:val="0"/>
        <w:spacing w:line="600" w:lineRule="exact"/>
        <w:ind w:firstLine="640" w:firstLineChars="200"/>
        <w:outlineLvl w:val="1"/>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针对南丰蜜橘和赣南脐橙两大标志性柑橘品种果实品质不稳定等问题，分析南丰蜜橘和赣南脐橙品质指标的年际波动和空间分异特征，探究影响不同品质指标的关键气象因子及其影响时段；针对盛夏高温、秋季干旱等关键气象条件设计控制实验开展田间观测试验，从生理生态层面揭示导致果实大小、糖酸积累、着色等品质指标不稳定的内在机制；对多个关键品质因子进行降维与综合集成，构建“综合品质指数”；研究适用于南丰蜜橘和赣南脐橙的综合气候品质评价技术，建立气候品质评价模型，为提升南丰蜜橘和赣南脐橙品质提供气候适应性技术支撑。</w:t>
      </w:r>
    </w:p>
    <w:p w14:paraId="58327CF3">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4．人工影响天气理论及方法</w:t>
      </w:r>
    </w:p>
    <w:p w14:paraId="0A6B5F8B">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rPr>
        <w:t>基于边缘计算的无人机人工增雨自主作业技术研究</w:t>
      </w:r>
    </w:p>
    <w:p w14:paraId="31F53A07">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为提升无人机增雨作业集约化远程控操和计划任务自动执行的能力，开展本地AI模型</w:t>
      </w:r>
      <w:r>
        <w:rPr>
          <w:rFonts w:hint="default" w:ascii="Times New Roman" w:hAnsi="Times New Roman" w:eastAsia="仿宋_GB2312" w:cs="Times New Roman"/>
          <w:sz w:val="32"/>
          <w:szCs w:val="32"/>
          <w:lang w:val="en-US" w:eastAsia="zh-CN"/>
        </w:rPr>
        <w:t>的构建与</w:t>
      </w:r>
      <w:r>
        <w:rPr>
          <w:rFonts w:hint="default" w:ascii="Times New Roman" w:hAnsi="Times New Roman" w:eastAsia="仿宋_GB2312" w:cs="Times New Roman"/>
          <w:sz w:val="32"/>
          <w:szCs w:val="32"/>
        </w:rPr>
        <w:t>部署，研发云层宏微观物理特性（云顶高度、液态水含量等）自动识别技术；设计轻量化边缘计算硬件模块，实现与无人机平台的综合集成；结合无人机机载传</w:t>
      </w:r>
      <w:r>
        <w:rPr>
          <w:rFonts w:hint="default" w:ascii="Times New Roman" w:hAnsi="Times New Roman" w:eastAsia="仿宋_GB2312" w:cs="Times New Roman"/>
          <w:spacing w:val="-6"/>
          <w:sz w:val="32"/>
          <w:szCs w:val="32"/>
        </w:rPr>
        <w:t>感器、北斗卫星数据，构</w:t>
      </w:r>
      <w:r>
        <w:rPr>
          <w:rFonts w:hint="default" w:ascii="Times New Roman" w:hAnsi="Times New Roman" w:eastAsia="仿宋_GB2312" w:cs="Times New Roman"/>
          <w:color w:val="000000"/>
          <w:spacing w:val="-6"/>
          <w:sz w:val="32"/>
          <w:szCs w:val="32"/>
        </w:rPr>
        <w:t>建多源数据的实时融合与边缘计算平</w:t>
      </w:r>
      <w:r>
        <w:rPr>
          <w:rFonts w:hint="default" w:ascii="Times New Roman" w:hAnsi="Times New Roman" w:eastAsia="仿宋_GB2312" w:cs="Times New Roman"/>
          <w:color w:val="000000"/>
          <w:sz w:val="32"/>
          <w:szCs w:val="32"/>
        </w:rPr>
        <w:t>台。</w:t>
      </w:r>
    </w:p>
    <w:p w14:paraId="23F5DC64">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5．大气探测资料处理应用技术</w:t>
      </w:r>
    </w:p>
    <w:p w14:paraId="340B067F">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color w:val="000000"/>
          <w:kern w:val="0"/>
          <w:sz w:val="32"/>
          <w:szCs w:val="32"/>
        </w:rPr>
        <w:t>相控阵天气雷达异常数据识别与质控原理研究</w:t>
      </w:r>
    </w:p>
    <w:p w14:paraId="54381F17">
      <w:pPr>
        <w:keepNext w:val="0"/>
        <w:keepLines w:val="0"/>
        <w:pageBreakBefore w:val="0"/>
        <w:widowControl w:val="0"/>
        <w:kinsoku/>
        <w:overflowPunct/>
        <w:topLinePunct w:val="0"/>
        <w:bidi w:val="0"/>
        <w:adjustRightInd w:val="0"/>
        <w:snapToGrid w:val="0"/>
        <w:spacing w:line="600" w:lineRule="exact"/>
        <w:ind w:firstLine="640"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基于我省新建的相控阵天气雷达资料，研发基于数据纹理、数据统计等方法的异常数据识别算法；采用人工与自动标记技术，构建高质量数据集；基于深度语义分割网络，研制相控阵天气雷达晴空回波、径向干扰等异常回波识别算法；研制相控阵雷达反射率衰减订正算法，研发高质量雷达基础数据产品。</w:t>
      </w:r>
    </w:p>
    <w:p w14:paraId="76DD65C6">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6．公共气象服务理论及方法</w:t>
      </w:r>
    </w:p>
    <w:p w14:paraId="3E5174BF">
      <w:pPr>
        <w:keepNext w:val="0"/>
        <w:keepLines w:val="0"/>
        <w:pageBreakBefore w:val="0"/>
        <w:widowControl w:val="0"/>
        <w:kinsoku/>
        <w:overflowPunct/>
        <w:topLinePunct w:val="0"/>
        <w:bidi w:val="0"/>
        <w:spacing w:line="600" w:lineRule="exact"/>
        <w:ind w:firstLine="643" w:firstLineChars="200"/>
        <w:outlineLvl w:val="2"/>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color w:val="000000"/>
          <w:kern w:val="0"/>
          <w:sz w:val="32"/>
          <w:szCs w:val="32"/>
          <w:lang w:eastAsia="zh-CN"/>
        </w:rPr>
        <w:t>（</w:t>
      </w:r>
      <w:r>
        <w:rPr>
          <w:rFonts w:hint="default" w:ascii="Times New Roman" w:hAnsi="Times New Roman" w:eastAsia="仿宋_GB2312" w:cs="Times New Roman"/>
          <w:b/>
          <w:bCs/>
          <w:color w:val="000000"/>
          <w:kern w:val="0"/>
          <w:sz w:val="32"/>
          <w:szCs w:val="32"/>
          <w:lang w:val="en-US" w:eastAsia="zh-CN"/>
        </w:rPr>
        <w:t>1</w:t>
      </w:r>
      <w:r>
        <w:rPr>
          <w:rFonts w:hint="default" w:ascii="Times New Roman" w:hAnsi="Times New Roman" w:eastAsia="仿宋_GB2312" w:cs="Times New Roman"/>
          <w:b/>
          <w:bCs/>
          <w:color w:val="000000"/>
          <w:kern w:val="0"/>
          <w:sz w:val="32"/>
          <w:szCs w:val="32"/>
          <w:lang w:eastAsia="zh-CN"/>
        </w:rPr>
        <w:t>）</w:t>
      </w:r>
      <w:r>
        <w:rPr>
          <w:rFonts w:hint="default" w:ascii="Times New Roman" w:hAnsi="Times New Roman" w:eastAsia="仿宋_GB2312" w:cs="Times New Roman"/>
          <w:b/>
          <w:bCs/>
          <w:color w:val="000000"/>
          <w:kern w:val="0"/>
          <w:sz w:val="32"/>
          <w:szCs w:val="32"/>
        </w:rPr>
        <w:t>鄱阳湖流域典型生态系统气候康养旅游价值定量评估技术研究</w:t>
      </w:r>
    </w:p>
    <w:p w14:paraId="5F0666CA">
      <w:pPr>
        <w:keepNext w:val="0"/>
        <w:keepLines w:val="0"/>
        <w:pageBreakBefore w:val="0"/>
        <w:widowControl w:val="0"/>
        <w:kinsoku/>
        <w:overflowPunct/>
        <w:topLinePunct w:val="0"/>
        <w:bidi w:val="0"/>
        <w:spacing w:line="600" w:lineRule="exact"/>
        <w:ind w:firstLine="640" w:firstLineChars="200"/>
        <w:outlineLvl w:val="2"/>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color w:val="000000"/>
          <w:kern w:val="0"/>
          <w:sz w:val="32"/>
          <w:szCs w:val="32"/>
        </w:rPr>
        <w:t>针对鄱阳湖流域在气候康养与旅游等系统价值评估不足的问题，开展流域典型生态系统（湿地，森林，高山草甸等）气候康养资源要素识别与评估指标体系构建；</w:t>
      </w:r>
      <w:r>
        <w:rPr>
          <w:rFonts w:hint="default" w:ascii="Times New Roman" w:hAnsi="Times New Roman" w:eastAsia="仿宋_GB2312" w:cs="Times New Roman"/>
          <w:color w:val="000000"/>
          <w:kern w:val="0"/>
          <w:sz w:val="32"/>
          <w:szCs w:val="32"/>
          <w:lang w:val="en-US" w:eastAsia="zh-CN"/>
        </w:rPr>
        <w:t>利用多源观测数据</w:t>
      </w:r>
      <w:r>
        <w:rPr>
          <w:rFonts w:hint="default" w:ascii="Times New Roman" w:hAnsi="Times New Roman" w:eastAsia="仿宋_GB2312" w:cs="Times New Roman"/>
          <w:color w:val="000000"/>
          <w:kern w:val="0"/>
          <w:sz w:val="32"/>
          <w:szCs w:val="32"/>
        </w:rPr>
        <w:t>卫星与无人机遥感、地面微气象监测</w:t>
      </w:r>
      <w:r>
        <w:rPr>
          <w:rFonts w:hint="default" w:ascii="Times New Roman" w:hAnsi="Times New Roman" w:eastAsia="仿宋_GB2312" w:cs="Times New Roman"/>
          <w:color w:val="000000"/>
          <w:kern w:val="0"/>
          <w:sz w:val="32"/>
          <w:szCs w:val="32"/>
          <w:lang w:val="en-US" w:eastAsia="zh-CN"/>
        </w:rPr>
        <w:t>等</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val="en-US" w:eastAsia="zh-CN"/>
        </w:rPr>
        <w:t>优化</w:t>
      </w:r>
      <w:r>
        <w:rPr>
          <w:rFonts w:hint="default" w:ascii="Times New Roman" w:hAnsi="Times New Roman" w:eastAsia="仿宋_GB2312" w:cs="Times New Roman"/>
          <w:color w:val="000000"/>
          <w:kern w:val="0"/>
          <w:sz w:val="32"/>
          <w:szCs w:val="32"/>
        </w:rPr>
        <w:t>生态系统服务功能建模技术，构建“生态—气候—康养—旅游”耦合的服务价值定量核算模型；研究流域不同生态系统康养资源分级评价方法与旅游气候适宜性评价指标体系</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提出流域气候资源科学利用方案。</w:t>
      </w:r>
    </w:p>
    <w:p w14:paraId="4B6E5FC9">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lang w:eastAsia="zh-CN"/>
        </w:rPr>
        <w:t>（</w:t>
      </w:r>
      <w:r>
        <w:rPr>
          <w:rFonts w:hint="default" w:ascii="Times New Roman" w:hAnsi="Times New Roman" w:eastAsia="楷体_GB2312" w:cs="Times New Roman"/>
          <w:b/>
          <w:bCs/>
          <w:color w:val="000000"/>
          <w:sz w:val="32"/>
          <w:szCs w:val="32"/>
          <w:lang w:val="en-US" w:eastAsia="zh-CN"/>
        </w:rPr>
        <w:t>二</w:t>
      </w:r>
      <w:r>
        <w:rPr>
          <w:rFonts w:hint="default" w:ascii="Times New Roman" w:hAnsi="Times New Roman" w:eastAsia="楷体_GB2312" w:cs="Times New Roman"/>
          <w:b/>
          <w:bCs/>
          <w:color w:val="000000"/>
          <w:sz w:val="32"/>
          <w:szCs w:val="32"/>
          <w:lang w:eastAsia="zh-CN"/>
        </w:rPr>
        <w:t>）</w:t>
      </w:r>
      <w:r>
        <w:rPr>
          <w:rFonts w:hint="default" w:ascii="Times New Roman" w:hAnsi="Times New Roman" w:eastAsia="楷体_GB2312" w:cs="Times New Roman"/>
          <w:b/>
          <w:bCs/>
          <w:color w:val="000000"/>
          <w:sz w:val="32"/>
          <w:szCs w:val="32"/>
        </w:rPr>
        <w:t>面上项目</w:t>
      </w:r>
    </w:p>
    <w:p w14:paraId="15AD8A65">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灾害性天气监测预警预报理论及方法</w:t>
      </w:r>
    </w:p>
    <w:p w14:paraId="2A2FC1BA">
      <w:pPr>
        <w:keepNext w:val="0"/>
        <w:keepLines w:val="0"/>
        <w:pageBreakBefore w:val="0"/>
        <w:widowControl w:val="0"/>
        <w:kinsoku/>
        <w:overflowPunct/>
        <w:topLinePunct w:val="0"/>
        <w:bidi w:val="0"/>
        <w:spacing w:line="600" w:lineRule="exact"/>
        <w:ind w:firstLine="643" w:firstLineChars="200"/>
        <w:outlineLvl w:val="1"/>
        <w:rPr>
          <w:rFonts w:hint="default" w:ascii="Times New Roman" w:hAnsi="Times New Roman" w:eastAsia="仿宋_GB2312" w:cs="Times New Roman"/>
          <w:kern w:val="0"/>
          <w:sz w:val="32"/>
          <w:szCs w:val="32"/>
        </w:rPr>
      </w:pP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rPr>
        <w:t>异构气象大数据驱动的强对流预警</w:t>
      </w:r>
      <w:r>
        <w:rPr>
          <w:rFonts w:hint="default" w:ascii="Times New Roman" w:hAnsi="Times New Roman" w:eastAsia="仿宋_GB2312" w:cs="Times New Roman"/>
          <w:b/>
          <w:bCs/>
          <w:kern w:val="0"/>
          <w:sz w:val="32"/>
          <w:szCs w:val="32"/>
          <w:lang w:val="en-US" w:eastAsia="zh-CN"/>
        </w:rPr>
        <w:t>方法</w:t>
      </w:r>
      <w:r>
        <w:rPr>
          <w:rFonts w:hint="default" w:ascii="Times New Roman" w:hAnsi="Times New Roman" w:eastAsia="仿宋_GB2312" w:cs="Times New Roman"/>
          <w:b/>
          <w:bCs/>
          <w:kern w:val="0"/>
          <w:sz w:val="32"/>
          <w:szCs w:val="32"/>
        </w:rPr>
        <w:t>研究</w:t>
      </w:r>
    </w:p>
    <w:p w14:paraId="4DA47347">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针对新型气象观测资料在强对流天气预警中的不足，研发基于新型观测资料（风廓线、云雷达、GNSS/MET水汽等）与传统观测（雷达、卫星、地面站等）的融合技术，建立多源异构数据表征模型；结合同址探空、地面、天气雷达等观测数据，构建基于同要素交叉校验、垂直层次比对、物理一致性约束机制等技术的多源协同质控模型；研制温湿廓线、云垂直结构、气溶胶光学特性等关键参数反演算法，研发面向数值预报模式的高价值融合产品；结合江西强对流触发机制和演变规律，挖掘多源异构数据中的强对流关键预报因子，构建基于融合多模态数据的</w:t>
      </w:r>
      <w:r>
        <w:rPr>
          <w:rFonts w:hint="default" w:ascii="Times New Roman" w:hAnsi="Times New Roman" w:eastAsia="仿宋_GB2312" w:cs="Times New Roman"/>
          <w:color w:val="000000"/>
          <w:kern w:val="0"/>
          <w:sz w:val="32"/>
          <w:szCs w:val="32"/>
          <w:lang w:val="en-US" w:eastAsia="zh-CN"/>
        </w:rPr>
        <w:t>0</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color w:val="000000"/>
          <w:kern w:val="0"/>
          <w:sz w:val="32"/>
          <w:szCs w:val="32"/>
          <w:lang w:val="en-US" w:eastAsia="zh-CN"/>
        </w:rPr>
        <w:t>2小时网格化</w:t>
      </w:r>
      <w:r>
        <w:rPr>
          <w:rFonts w:hint="default" w:ascii="Times New Roman" w:hAnsi="Times New Roman" w:eastAsia="仿宋_GB2312" w:cs="Times New Roman"/>
          <w:color w:val="000000"/>
          <w:kern w:val="0"/>
          <w:sz w:val="32"/>
          <w:szCs w:val="32"/>
        </w:rPr>
        <w:t>短临预报模型。</w:t>
      </w:r>
    </w:p>
    <w:p w14:paraId="7D36D9E0">
      <w:pPr>
        <w:keepNext w:val="0"/>
        <w:keepLines w:val="0"/>
        <w:pageBreakBefore w:val="0"/>
        <w:widowControl w:val="0"/>
        <w:kinsoku/>
        <w:overflowPunct/>
        <w:topLinePunct w:val="0"/>
        <w:bidi w:val="0"/>
        <w:spacing w:line="600" w:lineRule="exact"/>
        <w:ind w:firstLine="643" w:firstLineChars="200"/>
        <w:outlineLvl w:val="1"/>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rPr>
        <w:t>基于多源观测资料的山区高速公路大雾监测分级</w:t>
      </w:r>
      <w:r>
        <w:rPr>
          <w:rFonts w:hint="default" w:ascii="Times New Roman" w:hAnsi="Times New Roman" w:eastAsia="仿宋_GB2312" w:cs="Times New Roman"/>
          <w:b/>
          <w:bCs/>
          <w:kern w:val="0"/>
          <w:sz w:val="32"/>
          <w:szCs w:val="32"/>
          <w:lang w:val="en-US" w:eastAsia="zh-CN"/>
        </w:rPr>
        <w:t>方法</w:t>
      </w:r>
      <w:r>
        <w:rPr>
          <w:rFonts w:hint="default" w:ascii="Times New Roman" w:hAnsi="Times New Roman" w:eastAsia="仿宋_GB2312" w:cs="Times New Roman"/>
          <w:b/>
          <w:bCs/>
          <w:kern w:val="0"/>
          <w:sz w:val="32"/>
          <w:szCs w:val="32"/>
        </w:rPr>
        <w:t>研究</w:t>
      </w:r>
    </w:p>
    <w:p w14:paraId="0D92EC40">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针对地面观测资料在山区高速公路中大雾监测预警的不足，基于卫星资料的光谱特性，研究新一代气象卫星的大雾分级识别技术；融合多源数据，建立大雾综合分级识别算法；优化基于深度学习和多尺度融合的雾图像识别技术，构建山区高速公路大雾分级识别模型。</w:t>
      </w:r>
    </w:p>
    <w:p w14:paraId="02B60642">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kern w:val="0"/>
          <w:sz w:val="32"/>
          <w:szCs w:val="32"/>
          <w:lang w:val="en-US" w:eastAsia="zh-CN"/>
        </w:rPr>
      </w:pPr>
      <w:r>
        <w:rPr>
          <w:rFonts w:hint="default" w:ascii="Times New Roman" w:hAnsi="Times New Roman" w:eastAsia="仿宋_GB2312" w:cs="Times New Roman"/>
          <w:b/>
          <w:bCs/>
          <w:kern w:val="0"/>
          <w:sz w:val="32"/>
          <w:szCs w:val="32"/>
          <w:lang w:val="en-US" w:eastAsia="zh-CN"/>
        </w:rPr>
        <w:t>2．气候预测与气候变化理论及方法</w:t>
      </w:r>
    </w:p>
    <w:p w14:paraId="792FA420">
      <w:pPr>
        <w:keepNext w:val="0"/>
        <w:keepLines w:val="0"/>
        <w:pageBreakBefore w:val="0"/>
        <w:widowControl w:val="0"/>
        <w:kinsoku/>
        <w:overflowPunct/>
        <w:topLinePunct w:val="0"/>
        <w:bidi w:val="0"/>
        <w:spacing w:line="600" w:lineRule="exact"/>
        <w:ind w:firstLine="643" w:firstLineChars="200"/>
        <w:outlineLvl w:val="2"/>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rPr>
        <w:t>江西省气象干旱次季节预测</w:t>
      </w:r>
      <w:r>
        <w:rPr>
          <w:rFonts w:hint="default" w:ascii="Times New Roman" w:hAnsi="Times New Roman" w:eastAsia="仿宋_GB2312" w:cs="Times New Roman"/>
          <w:b/>
          <w:bCs/>
          <w:kern w:val="0"/>
          <w:sz w:val="32"/>
          <w:szCs w:val="32"/>
          <w:lang w:val="en-US" w:eastAsia="zh-CN"/>
        </w:rPr>
        <w:t>方法</w:t>
      </w:r>
      <w:r>
        <w:rPr>
          <w:rFonts w:hint="default" w:ascii="Times New Roman" w:hAnsi="Times New Roman" w:eastAsia="仿宋_GB2312" w:cs="Times New Roman"/>
          <w:b/>
          <w:bCs/>
          <w:kern w:val="0"/>
          <w:sz w:val="32"/>
          <w:szCs w:val="32"/>
        </w:rPr>
        <w:t>研究</w:t>
      </w:r>
    </w:p>
    <w:p w14:paraId="50C04189">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针对江西极端气象干旱事件预测和抗旱“3310”响应能力的不足，基于我省历史极端气象干旱事件</w:t>
      </w:r>
      <w:r>
        <w:rPr>
          <w:rFonts w:hint="default" w:ascii="Times New Roman" w:hAnsi="Times New Roman" w:eastAsia="仿宋_GB2312" w:cs="Times New Roman"/>
          <w:color w:val="000000"/>
          <w:kern w:val="0"/>
          <w:sz w:val="32"/>
          <w:szCs w:val="32"/>
          <w:lang w:val="en-US" w:eastAsia="zh-CN"/>
        </w:rPr>
        <w:t>多案</w:t>
      </w:r>
      <w:r>
        <w:rPr>
          <w:rFonts w:hint="default" w:ascii="Times New Roman" w:hAnsi="Times New Roman" w:eastAsia="仿宋_GB2312" w:cs="Times New Roman"/>
          <w:color w:val="000000"/>
          <w:kern w:val="0"/>
          <w:sz w:val="32"/>
          <w:szCs w:val="32"/>
        </w:rPr>
        <w:t>例，研究极端气象干旱事件的成因</w:t>
      </w:r>
      <w:r>
        <w:rPr>
          <w:rFonts w:hint="default" w:ascii="Times New Roman" w:hAnsi="Times New Roman" w:eastAsia="仿宋_GB2312" w:cs="Times New Roman"/>
          <w:color w:val="000000"/>
          <w:kern w:val="0"/>
          <w:sz w:val="32"/>
          <w:szCs w:val="32"/>
          <w:lang w:val="en-US" w:eastAsia="zh-CN"/>
        </w:rPr>
        <w:t>及其规律</w:t>
      </w:r>
      <w:r>
        <w:rPr>
          <w:rFonts w:hint="default" w:ascii="Times New Roman" w:hAnsi="Times New Roman" w:eastAsia="仿宋_GB2312" w:cs="Times New Roman"/>
          <w:color w:val="000000"/>
          <w:kern w:val="0"/>
          <w:sz w:val="32"/>
          <w:szCs w:val="32"/>
        </w:rPr>
        <w:t>，建立江西省次季节尺度极端气象干旱事件的预测概念模型；采用机器学习等方法研发次季节尺度逐日温度、降水等预测技术，建立次季节尺度气象干旱客观识别方法；研发基于综合强度－面积－持续时间的定量化次季节气象干旱灾害风险预警模型。</w:t>
      </w:r>
    </w:p>
    <w:p w14:paraId="6B95EDCC">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kern w:val="0"/>
          <w:sz w:val="32"/>
          <w:szCs w:val="32"/>
          <w:lang w:val="en-US" w:eastAsia="zh-CN"/>
        </w:rPr>
      </w:pPr>
      <w:r>
        <w:rPr>
          <w:rFonts w:hint="default" w:ascii="Times New Roman" w:hAnsi="Times New Roman" w:eastAsia="仿宋_GB2312" w:cs="Times New Roman"/>
          <w:b/>
          <w:bCs/>
          <w:kern w:val="0"/>
          <w:sz w:val="32"/>
          <w:szCs w:val="32"/>
          <w:lang w:val="en-US" w:eastAsia="zh-CN"/>
        </w:rPr>
        <w:t>3．生态与农业气象理论及方法</w:t>
      </w:r>
    </w:p>
    <w:p w14:paraId="5C727F66">
      <w:pPr>
        <w:keepNext w:val="0"/>
        <w:keepLines w:val="0"/>
        <w:pageBreakBefore w:val="0"/>
        <w:widowControl w:val="0"/>
        <w:kinsoku/>
        <w:overflowPunct/>
        <w:topLinePunct w:val="0"/>
        <w:bidi w:val="0"/>
        <w:spacing w:line="600" w:lineRule="exact"/>
        <w:ind w:firstLine="643" w:firstLineChars="200"/>
        <w:outlineLvl w:val="2"/>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rPr>
        <w:t>关键生育期冷热复合胁迫对早稻影响机理及其对气候变化响应研究</w:t>
      </w:r>
    </w:p>
    <w:p w14:paraId="16A32EFF">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针对江西省高、低温灾害对早稻关键期生长的不利影响，研究1961年以来早稻穗分化期冷害（小</w:t>
      </w:r>
      <w:r>
        <w:rPr>
          <w:rFonts w:hint="default" w:ascii="Times New Roman" w:hAnsi="Times New Roman" w:eastAsia="仿宋_GB2312" w:cs="Times New Roman"/>
          <w:sz w:val="32"/>
          <w:szCs w:val="32"/>
        </w:rPr>
        <w:t>满寒）和灌浆期热害（高温热害）及其两个阶段复合胁迫的时空分布规律；通过人工控制和田间观测试验，揭示早稻对冷热复合胁迫的响应机制，定量解析复合胁迫对产量形成的影响</w:t>
      </w:r>
      <w:r>
        <w:rPr>
          <w:rFonts w:hint="default" w:ascii="Times New Roman" w:hAnsi="Times New Roman" w:eastAsia="仿宋_GB2312" w:cs="Times New Roman"/>
          <w:sz w:val="32"/>
          <w:szCs w:val="32"/>
          <w:lang w:eastAsia="zh-CN"/>
        </w:rPr>
        <w:t>。</w:t>
      </w:r>
    </w:p>
    <w:p w14:paraId="13280517">
      <w:pPr>
        <w:keepNext w:val="0"/>
        <w:keepLines w:val="0"/>
        <w:pageBreakBefore w:val="0"/>
        <w:widowControl w:val="0"/>
        <w:kinsoku/>
        <w:overflowPunct/>
        <w:topLinePunct w:val="0"/>
        <w:bidi w:val="0"/>
        <w:spacing w:line="600" w:lineRule="exact"/>
        <w:ind w:firstLine="643" w:firstLineChars="200"/>
        <w:outlineLvl w:val="1"/>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rPr>
        <w:t>人为气溶胶对鄱阳湖流域极端降水事件的贡献评估与归因研究</w:t>
      </w:r>
    </w:p>
    <w:p w14:paraId="05113F92">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针对人为气溶胶排放变化与鄱阳湖流域极端降水演变之间复杂非线性关系认识不足的问题，基于长时间序列气溶胶、气象等观测资料和CMIP6等相关气候模式数据，研究鄱阳湖流域极端降水的长期演变规律，揭示人为气溶胶和温室气体</w:t>
      </w:r>
      <w:r>
        <w:rPr>
          <w:rFonts w:hint="default" w:ascii="Times New Roman" w:hAnsi="Times New Roman" w:eastAsia="仿宋_GB2312" w:cs="Times New Roman"/>
          <w:color w:val="000000"/>
          <w:kern w:val="0"/>
          <w:sz w:val="32"/>
          <w:szCs w:val="32"/>
          <w:lang w:val="en-US" w:eastAsia="zh-CN"/>
        </w:rPr>
        <w:t>浓度及成分</w:t>
      </w:r>
      <w:r>
        <w:rPr>
          <w:rFonts w:hint="default" w:ascii="Times New Roman" w:hAnsi="Times New Roman" w:eastAsia="仿宋_GB2312" w:cs="Times New Roman"/>
          <w:color w:val="000000"/>
          <w:kern w:val="0"/>
          <w:sz w:val="32"/>
          <w:szCs w:val="32"/>
        </w:rPr>
        <w:t>对区域降水变化的驱动作用；探究不同时期人为气溶胶强迫对东亚夏季风环流及水汽输送的影响机制，建立人为气溶胶影响鄱阳湖</w:t>
      </w:r>
      <w:r>
        <w:rPr>
          <w:rFonts w:hint="default" w:ascii="Times New Roman" w:hAnsi="Times New Roman" w:eastAsia="仿宋_GB2312" w:cs="Times New Roman"/>
          <w:color w:val="000000"/>
          <w:spacing w:val="-6"/>
          <w:kern w:val="0"/>
          <w:sz w:val="32"/>
          <w:szCs w:val="32"/>
        </w:rPr>
        <w:t>流域极端降水强度、频率和空间分布的概念模型；开展流域极</w:t>
      </w:r>
      <w:r>
        <w:rPr>
          <w:rFonts w:hint="default" w:ascii="Times New Roman" w:hAnsi="Times New Roman" w:eastAsia="仿宋_GB2312" w:cs="Times New Roman"/>
          <w:color w:val="000000"/>
          <w:kern w:val="0"/>
          <w:sz w:val="32"/>
          <w:szCs w:val="32"/>
        </w:rPr>
        <w:t>端降水事件多因子归因分析，实现人为气溶胶贡献的定量化评估。</w:t>
      </w:r>
    </w:p>
    <w:p w14:paraId="04BCD619">
      <w:pPr>
        <w:keepNext w:val="0"/>
        <w:keepLines w:val="0"/>
        <w:pageBreakBefore w:val="0"/>
        <w:widowControl w:val="0"/>
        <w:kinsoku/>
        <w:overflowPunct/>
        <w:topLinePunct w:val="0"/>
        <w:bidi w:val="0"/>
        <w:spacing w:line="600" w:lineRule="exact"/>
        <w:ind w:firstLine="643" w:firstLineChars="200"/>
        <w:outlineLvl w:val="1"/>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lang w:val="en-US" w:eastAsia="zh-CN"/>
        </w:rPr>
        <w:t>3</w:t>
      </w: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rPr>
        <w:t>基于多源协同观测的江西大型水库水质气象风险预警关键技术</w:t>
      </w:r>
    </w:p>
    <w:p w14:paraId="2AABB0FD">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针对江西省大型水库污染物输移规律不清、气象驱动机制不明、水质预警能力薄弱等问题，基于风场、温度、降水、太阳辐射等多要素数据，结合无人机与卫星遥感技术开展水库水质同步观测，建立气象因子与关键水质参数的响应模型；研发无人机高光谱与卫星多光谱协同的叶绿素a、COD等关键水质要素特征光谱识别与定量遥感反演方法，突破多云多雨地区监测难的技术瓶颈</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建立“监测－预警”一体化技术</w:t>
      </w:r>
      <w:r>
        <w:rPr>
          <w:rFonts w:hint="default" w:ascii="Times New Roman" w:hAnsi="Times New Roman" w:eastAsia="仿宋_GB2312" w:cs="Times New Roman"/>
          <w:color w:val="000000"/>
          <w:kern w:val="0"/>
          <w:sz w:val="32"/>
          <w:szCs w:val="32"/>
          <w:lang w:val="en-US" w:eastAsia="zh-CN"/>
        </w:rPr>
        <w:t>框架</w:t>
      </w:r>
      <w:r>
        <w:rPr>
          <w:rFonts w:hint="default" w:ascii="Times New Roman" w:hAnsi="Times New Roman" w:eastAsia="仿宋_GB2312" w:cs="Times New Roman"/>
          <w:color w:val="000000"/>
          <w:kern w:val="0"/>
          <w:sz w:val="32"/>
          <w:szCs w:val="32"/>
        </w:rPr>
        <w:t>。</w:t>
      </w:r>
    </w:p>
    <w:p w14:paraId="5C2B0C66">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kern w:val="0"/>
          <w:sz w:val="32"/>
          <w:szCs w:val="32"/>
          <w:lang w:val="en-US" w:eastAsia="zh-CN"/>
        </w:rPr>
      </w:pPr>
      <w:r>
        <w:rPr>
          <w:rFonts w:hint="default" w:ascii="Times New Roman" w:hAnsi="Times New Roman" w:eastAsia="仿宋_GB2312" w:cs="Times New Roman"/>
          <w:b/>
          <w:bCs/>
          <w:kern w:val="0"/>
          <w:sz w:val="32"/>
          <w:szCs w:val="32"/>
          <w:lang w:val="en-US" w:eastAsia="zh-CN"/>
        </w:rPr>
        <w:t>4．人工影响天气理论及方法</w:t>
      </w:r>
    </w:p>
    <w:p w14:paraId="16E10DE7">
      <w:pPr>
        <w:keepNext w:val="0"/>
        <w:keepLines w:val="0"/>
        <w:pageBreakBefore w:val="0"/>
        <w:widowControl w:val="0"/>
        <w:kinsoku/>
        <w:overflowPunct/>
        <w:topLinePunct w:val="0"/>
        <w:bidi w:val="0"/>
        <w:adjustRightInd w:val="0"/>
        <w:snapToGrid w:val="0"/>
        <w:spacing w:line="600" w:lineRule="exact"/>
        <w:ind w:firstLine="643" w:firstLineChars="20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rPr>
        <w:t>纳米核壳结构播撒型暖云催化剂的构建及关键应用技术研发</w:t>
      </w:r>
    </w:p>
    <w:p w14:paraId="3B605269">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针对传统暖云催化剂存在的潮解点高、吸湿速度缓慢及颗粒易团聚等技术瓶颈，采用核壳结构协同调控的材料设计理念，开展新型纳米核壳结构暖云催化剂的研发与性能验证研究；筛选高吸湿性无机盐类核心材料与亲水性纳米壳层材料，开展催化剂的微纳结构设计、界面特性调控及可控制备研究；基于云室模拟试验，揭示不同粒径下新型催化剂的暖云催化</w:t>
      </w:r>
      <w:r>
        <w:rPr>
          <w:rFonts w:hint="default" w:ascii="Times New Roman" w:hAnsi="Times New Roman" w:eastAsia="仿宋_GB2312" w:cs="Times New Roman"/>
          <w:color w:val="000000"/>
          <w:kern w:val="0"/>
          <w:sz w:val="32"/>
          <w:szCs w:val="32"/>
          <w:lang w:val="en-US" w:eastAsia="zh-CN"/>
        </w:rPr>
        <w:t>性能</w:t>
      </w:r>
      <w:r>
        <w:rPr>
          <w:rFonts w:hint="default" w:ascii="Times New Roman" w:hAnsi="Times New Roman" w:eastAsia="仿宋_GB2312" w:cs="Times New Roman"/>
          <w:color w:val="000000"/>
          <w:kern w:val="0"/>
          <w:sz w:val="32"/>
          <w:szCs w:val="32"/>
        </w:rPr>
        <w:t>及其增强暖云凝结的核心机理，形成 “催化剂制备－性能表征－</w:t>
      </w:r>
      <w:r>
        <w:rPr>
          <w:rFonts w:hint="default" w:ascii="Times New Roman" w:hAnsi="Times New Roman" w:eastAsia="仿宋_GB2312" w:cs="Times New Roman"/>
          <w:color w:val="000000"/>
          <w:kern w:val="0"/>
          <w:sz w:val="32"/>
          <w:szCs w:val="32"/>
          <w:lang w:val="en-US" w:eastAsia="zh-CN"/>
        </w:rPr>
        <w:t>机理分析-</w:t>
      </w:r>
      <w:r>
        <w:rPr>
          <w:rFonts w:hint="default" w:ascii="Times New Roman" w:hAnsi="Times New Roman" w:eastAsia="仿宋_GB2312" w:cs="Times New Roman"/>
          <w:color w:val="000000"/>
          <w:kern w:val="0"/>
          <w:sz w:val="32"/>
          <w:szCs w:val="32"/>
        </w:rPr>
        <w:t>云室验证－参数优化” 的关键技术方案，为人工增雨作业提供高性能材料与技术支撑。</w:t>
      </w:r>
    </w:p>
    <w:p w14:paraId="1035B3E1">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kern w:val="0"/>
          <w:sz w:val="32"/>
          <w:szCs w:val="32"/>
          <w:lang w:val="en-US" w:eastAsia="zh-CN"/>
        </w:rPr>
      </w:pPr>
      <w:r>
        <w:rPr>
          <w:rFonts w:hint="default" w:ascii="Times New Roman" w:hAnsi="Times New Roman" w:eastAsia="仿宋_GB2312" w:cs="Times New Roman"/>
          <w:b/>
          <w:bCs/>
          <w:kern w:val="0"/>
          <w:sz w:val="32"/>
          <w:szCs w:val="32"/>
          <w:lang w:val="en-US" w:eastAsia="zh-CN"/>
        </w:rPr>
        <w:t>5．大气探测资料处理应用技术</w:t>
      </w:r>
    </w:p>
    <w:p w14:paraId="726E60BD">
      <w:pPr>
        <w:keepNext w:val="0"/>
        <w:keepLines w:val="0"/>
        <w:pageBreakBefore w:val="0"/>
        <w:widowControl w:val="0"/>
        <w:kinsoku/>
        <w:overflowPunct/>
        <w:topLinePunct w:val="0"/>
        <w:bidi w:val="0"/>
        <w:spacing w:line="600" w:lineRule="exact"/>
        <w:ind w:firstLine="643" w:firstLineChars="200"/>
        <w:outlineLvl w:val="1"/>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rPr>
        <w:t>物理约束与机器学习</w:t>
      </w:r>
      <w:r>
        <w:rPr>
          <w:rFonts w:hint="default" w:ascii="Times New Roman" w:hAnsi="Times New Roman" w:eastAsia="仿宋_GB2312" w:cs="Times New Roman"/>
          <w:b/>
          <w:bCs/>
          <w:kern w:val="0"/>
          <w:sz w:val="32"/>
          <w:szCs w:val="32"/>
          <w:lang w:val="en-US" w:eastAsia="zh-CN"/>
        </w:rPr>
        <w:t>耦</w:t>
      </w:r>
      <w:r>
        <w:rPr>
          <w:rFonts w:hint="default" w:ascii="Times New Roman" w:hAnsi="Times New Roman" w:eastAsia="仿宋_GB2312" w:cs="Times New Roman"/>
          <w:b/>
          <w:bCs/>
          <w:kern w:val="0"/>
          <w:sz w:val="32"/>
          <w:szCs w:val="32"/>
        </w:rPr>
        <w:t>合的气象观测数据质量诊断</w:t>
      </w:r>
      <w:r>
        <w:rPr>
          <w:rFonts w:hint="default" w:ascii="Times New Roman" w:hAnsi="Times New Roman" w:eastAsia="仿宋_GB2312" w:cs="Times New Roman"/>
          <w:b/>
          <w:bCs/>
          <w:kern w:val="0"/>
          <w:sz w:val="32"/>
          <w:szCs w:val="32"/>
          <w:lang w:val="en-US" w:eastAsia="zh-CN"/>
        </w:rPr>
        <w:t>方法</w:t>
      </w:r>
    </w:p>
    <w:p w14:paraId="19B9ED2A">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针对地面、高空、雷达等多源气象观测数据存在的异常值识别难、质量可信度量化缺失等问题，建立融合时空一致性检验与孤立森林/LOF算法的混合异常识别模型；构建涵盖完整性、准确性、一致性、时效性四维度的气象观测数据质量评估指标体系和数据可信度动态分级标准，为气象数据资源的高效管理与智能服务提供理论支撑。</w:t>
      </w:r>
    </w:p>
    <w:p w14:paraId="72367000">
      <w:pPr>
        <w:keepNext w:val="0"/>
        <w:keepLines w:val="0"/>
        <w:pageBreakBefore w:val="0"/>
        <w:widowControl w:val="0"/>
        <w:kinsoku/>
        <w:overflowPunct/>
        <w:topLinePunct w:val="0"/>
        <w:bidi w:val="0"/>
        <w:spacing w:line="600" w:lineRule="exact"/>
        <w:ind w:firstLine="643" w:firstLineChars="200"/>
        <w:rPr>
          <w:rFonts w:hint="default" w:ascii="Times New Roman" w:hAnsi="Times New Roman" w:eastAsia="仿宋_GB2312" w:cs="Times New Roman"/>
          <w:b/>
          <w:bCs/>
          <w:kern w:val="0"/>
          <w:sz w:val="32"/>
          <w:szCs w:val="32"/>
          <w:lang w:val="en-US" w:eastAsia="zh-CN"/>
        </w:rPr>
      </w:pPr>
      <w:r>
        <w:rPr>
          <w:rFonts w:hint="default" w:ascii="Times New Roman" w:hAnsi="Times New Roman" w:eastAsia="仿宋_GB2312" w:cs="Times New Roman"/>
          <w:b/>
          <w:bCs/>
          <w:kern w:val="0"/>
          <w:sz w:val="32"/>
          <w:szCs w:val="32"/>
          <w:lang w:val="en-US" w:eastAsia="zh-CN"/>
        </w:rPr>
        <w:t>6．公共气象服务理论及方法</w:t>
      </w:r>
    </w:p>
    <w:p w14:paraId="688A6F2B">
      <w:pPr>
        <w:keepNext w:val="0"/>
        <w:keepLines w:val="0"/>
        <w:pageBreakBefore w:val="0"/>
        <w:widowControl w:val="0"/>
        <w:kinsoku/>
        <w:overflowPunct/>
        <w:topLinePunct w:val="0"/>
        <w:bidi w:val="0"/>
        <w:spacing w:line="600" w:lineRule="exact"/>
        <w:ind w:firstLine="643" w:firstLineChars="200"/>
        <w:outlineLvl w:val="1"/>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rPr>
        <w:t>低空旅游场景气象精细化预警技术研究</w:t>
      </w:r>
    </w:p>
    <w:p w14:paraId="75128B8C">
      <w:pPr>
        <w:keepNext w:val="0"/>
        <w:keepLines w:val="0"/>
        <w:pageBreakBefore w:val="0"/>
        <w:widowControl w:val="0"/>
        <w:kinsoku/>
        <w:overflowPunct/>
        <w:topLinePunct w:val="0"/>
        <w:bidi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针对江西省低空旅游场景飞行安全的气象服务保障需求，建立面向低空旅游场景的数据－知识双驱动气象风险快速探测技术；构建基于大风、能见度、强对流天气的低空旅游场景气象灾害风险等级指标和气象灾害风险智能预警模型；研发多样化的低空旅游气象服务产品，包括飞行时段气象条件评估、航线气象风险分析、安全飞行建议等</w:t>
      </w:r>
      <w:r>
        <w:rPr>
          <w:rFonts w:hint="default" w:ascii="Times New Roman" w:hAnsi="Times New Roman" w:eastAsia="仿宋_GB2312" w:cs="Times New Roman"/>
          <w:kern w:val="0"/>
          <w:sz w:val="32"/>
          <w:szCs w:val="32"/>
          <w:lang w:eastAsia="zh-CN"/>
        </w:rPr>
        <w:t>。</w:t>
      </w:r>
    </w:p>
    <w:p w14:paraId="30AC3F6B">
      <w:pPr>
        <w:keepNext w:val="0"/>
        <w:keepLines w:val="0"/>
        <w:pageBreakBefore w:val="0"/>
        <w:widowControl w:val="0"/>
        <w:kinsoku/>
        <w:overflowPunct/>
        <w:topLinePunct w:val="0"/>
        <w:bidi w:val="0"/>
        <w:spacing w:line="600" w:lineRule="exact"/>
        <w:ind w:firstLine="643" w:firstLineChars="200"/>
        <w:outlineLvl w:val="2"/>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lang w:eastAsia="zh-CN"/>
        </w:rPr>
        <w:t>）</w:t>
      </w:r>
      <w:r>
        <w:rPr>
          <w:rFonts w:hint="default" w:ascii="Times New Roman" w:hAnsi="Times New Roman" w:eastAsia="仿宋_GB2312" w:cs="Times New Roman"/>
          <w:b/>
          <w:bCs/>
          <w:kern w:val="0"/>
          <w:sz w:val="32"/>
          <w:szCs w:val="32"/>
        </w:rPr>
        <w:t>闪电识别追踪与短临预警</w:t>
      </w:r>
      <w:r>
        <w:rPr>
          <w:rFonts w:hint="default" w:ascii="Times New Roman" w:hAnsi="Times New Roman" w:eastAsia="仿宋_GB2312" w:cs="Times New Roman"/>
          <w:b/>
          <w:bCs/>
          <w:kern w:val="0"/>
          <w:sz w:val="32"/>
          <w:szCs w:val="32"/>
          <w:lang w:val="en-US" w:eastAsia="zh-CN"/>
        </w:rPr>
        <w:t>方法</w:t>
      </w:r>
      <w:r>
        <w:rPr>
          <w:rFonts w:hint="default" w:ascii="Times New Roman" w:hAnsi="Times New Roman" w:eastAsia="仿宋_GB2312" w:cs="Times New Roman"/>
          <w:b/>
          <w:bCs/>
          <w:kern w:val="0"/>
          <w:sz w:val="32"/>
          <w:szCs w:val="32"/>
        </w:rPr>
        <w:t>研究</w:t>
      </w:r>
    </w:p>
    <w:p w14:paraId="06855A8D">
      <w:pPr>
        <w:keepNext w:val="0"/>
        <w:keepLines w:val="0"/>
        <w:pageBreakBefore w:val="0"/>
        <w:widowControl w:val="0"/>
        <w:kinsoku/>
        <w:overflowPunct/>
        <w:topLinePunct w:val="0"/>
        <w:bidi w:val="0"/>
        <w:adjustRightInd w:val="0"/>
        <w:snapToGrid w:val="0"/>
        <w:spacing w:line="600" w:lineRule="exact"/>
        <w:ind w:firstLine="640" w:firstLineChars="200"/>
        <w:rPr>
          <w:rFonts w:hint="default" w:ascii="Times New Roman" w:hAnsi="Times New Roman" w:cs="Times New Roman"/>
          <w:lang w:val="en-US" w:eastAsia="zh-CN"/>
        </w:rPr>
      </w:pPr>
      <w:r>
        <w:rPr>
          <w:rFonts w:hint="default" w:ascii="Times New Roman" w:hAnsi="Times New Roman" w:eastAsia="仿宋_GB2312" w:cs="Times New Roman"/>
          <w:kern w:val="0"/>
          <w:sz w:val="32"/>
          <w:szCs w:val="32"/>
        </w:rPr>
        <w:t>针对闪电监测和风险预警精细化程度不足的问题，利用江西省雷达、闪电、大气电场仪等多源观测数据</w:t>
      </w:r>
      <w:r>
        <w:rPr>
          <w:rFonts w:hint="default" w:ascii="Times New Roman" w:hAnsi="Times New Roman" w:eastAsia="仿宋_GB2312" w:cs="Times New Roman"/>
          <w:kern w:val="0"/>
          <w:sz w:val="32"/>
          <w:szCs w:val="32"/>
          <w:lang w:val="en-US" w:eastAsia="zh-CN"/>
        </w:rPr>
        <w:t>以及数值预报产品</w:t>
      </w:r>
      <w:r>
        <w:rPr>
          <w:rFonts w:hint="default" w:ascii="Times New Roman" w:hAnsi="Times New Roman" w:eastAsia="仿宋_GB2312" w:cs="Times New Roman"/>
          <w:kern w:val="0"/>
          <w:sz w:val="32"/>
          <w:szCs w:val="32"/>
        </w:rPr>
        <w:t>，研究时空匹配与特征级融合的闪电监测技术；研发基于深度学习的闪电活动中心识别追踪技术；构建基于深度学习的0～2小时闪电发生概率、强度和移动路径的网格化精准预警</w:t>
      </w:r>
      <w:r>
        <w:rPr>
          <w:rFonts w:hint="default" w:ascii="Times New Roman" w:hAnsi="Times New Roman" w:eastAsia="仿宋_GB2312" w:cs="Times New Roman"/>
          <w:kern w:val="0"/>
          <w:sz w:val="32"/>
          <w:szCs w:val="32"/>
          <w:lang w:val="en-US" w:eastAsia="zh-CN"/>
        </w:rPr>
        <w:t>方法</w:t>
      </w:r>
      <w:r>
        <w:rPr>
          <w:rFonts w:hint="default" w:ascii="Times New Roman" w:hAnsi="Times New Roman" w:eastAsia="仿宋_GB2312" w:cs="Times New Roman"/>
          <w:kern w:val="0"/>
          <w:sz w:val="32"/>
          <w:szCs w:val="32"/>
        </w:rPr>
        <w:t>。</w:t>
      </w:r>
    </w:p>
    <w:p w14:paraId="5AD346E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color w:val="auto"/>
          <w:kern w:val="0"/>
          <w:sz w:val="32"/>
          <w:szCs w:val="32"/>
          <w:highlight w:val="none"/>
          <w:lang w:eastAsia="zh-CN"/>
        </w:rPr>
      </w:pPr>
    </w:p>
    <w:p w14:paraId="15919130"/>
    <w:sectPr>
      <w:footerReference r:id="rId3" w:type="default"/>
      <w:footerReference r:id="rId4" w:type="even"/>
      <w:pgSz w:w="11906" w:h="16838"/>
      <w:pgMar w:top="1701" w:right="1417" w:bottom="1701" w:left="1417" w:header="851" w:footer="14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仿宋-GB2312">
    <w:altName w:val="仿宋"/>
    <w:panose1 w:val="00000000000000000000"/>
    <w:charset w:val="00"/>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86B7A">
    <w:pPr>
      <w:pStyle w:val="3"/>
      <w:jc w:val="right"/>
    </w:pPr>
    <w:r>
      <w:rPr>
        <w:rStyle w:val="7"/>
        <w:rFonts w:ascii="Times New Roman" w:hAnsi="Times New Roman"/>
        <w:sz w:val="28"/>
        <w:szCs w:val="28"/>
      </w:rPr>
      <w:t xml:space="preserve">— </w:t>
    </w:r>
    <w:r>
      <w:rPr>
        <w:rFonts w:ascii="Times New Roman" w:hAnsi="Times New Roman"/>
        <w:sz w:val="28"/>
        <w:szCs w:val="28"/>
      </w:rPr>
      <w:fldChar w:fldCharType="begin"/>
    </w:r>
    <w:r>
      <w:rPr>
        <w:rStyle w:val="7"/>
        <w:rFonts w:ascii="Times New Roman" w:hAnsi="Times New Roman"/>
        <w:sz w:val="28"/>
        <w:szCs w:val="28"/>
      </w:rPr>
      <w:instrText xml:space="preserve">PAGE  </w:instrText>
    </w:r>
    <w:r>
      <w:rPr>
        <w:rFonts w:ascii="Times New Roman" w:hAnsi="Times New Roman"/>
        <w:sz w:val="28"/>
        <w:szCs w:val="28"/>
      </w:rPr>
      <w:fldChar w:fldCharType="separate"/>
    </w:r>
    <w:r>
      <w:rPr>
        <w:rStyle w:val="7"/>
        <w:rFonts w:ascii="Times New Roman" w:hAnsi="Times New Roman"/>
        <w:sz w:val="28"/>
        <w:szCs w:val="28"/>
      </w:rPr>
      <w:t>1</w:t>
    </w:r>
    <w:r>
      <w:rPr>
        <w:rFonts w:ascii="Times New Roman" w:hAnsi="Times New Roman"/>
        <w:sz w:val="28"/>
        <w:szCs w:val="28"/>
      </w:rPr>
      <w:fldChar w:fldCharType="end"/>
    </w:r>
    <w:r>
      <w:rPr>
        <w:rStyle w:val="7"/>
        <w:rFonts w:ascii="Times New Roman" w:hAnsi="Times New Roman"/>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77532">
    <w:pPr>
      <w:pStyle w:val="3"/>
    </w:pPr>
    <w:r>
      <w:rPr>
        <w:rStyle w:val="7"/>
        <w:rFonts w:ascii="Times New Roman" w:hAnsi="Times New Roman"/>
        <w:sz w:val="28"/>
        <w:szCs w:val="28"/>
      </w:rPr>
      <w:t xml:space="preserve">— </w:t>
    </w:r>
    <w:r>
      <w:rPr>
        <w:rFonts w:ascii="Times New Roman" w:hAnsi="Times New Roman"/>
        <w:sz w:val="28"/>
        <w:szCs w:val="28"/>
      </w:rPr>
      <w:fldChar w:fldCharType="begin"/>
    </w:r>
    <w:r>
      <w:rPr>
        <w:rStyle w:val="7"/>
        <w:rFonts w:ascii="Times New Roman" w:hAnsi="Times New Roman"/>
        <w:sz w:val="28"/>
        <w:szCs w:val="28"/>
      </w:rPr>
      <w:instrText xml:space="preserve">PAGE  </w:instrText>
    </w:r>
    <w:r>
      <w:rPr>
        <w:rFonts w:ascii="Times New Roman" w:hAnsi="Times New Roman"/>
        <w:sz w:val="28"/>
        <w:szCs w:val="28"/>
      </w:rPr>
      <w:fldChar w:fldCharType="separate"/>
    </w:r>
    <w:r>
      <w:rPr>
        <w:rStyle w:val="7"/>
        <w:rFonts w:ascii="Times New Roman" w:hAnsi="Times New Roman"/>
        <w:sz w:val="28"/>
        <w:szCs w:val="28"/>
      </w:rPr>
      <w:t>1</w:t>
    </w:r>
    <w:r>
      <w:rPr>
        <w:rFonts w:ascii="Times New Roman" w:hAnsi="Times New Roman"/>
        <w:sz w:val="28"/>
        <w:szCs w:val="28"/>
      </w:rPr>
      <w:fldChar w:fldCharType="end"/>
    </w:r>
    <w:r>
      <w:rPr>
        <w:rStyle w:val="7"/>
        <w:rFonts w:ascii="Times New Roman" w:hAnsi="Times New Roman"/>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3A6403"/>
    <w:rsid w:val="373A6403"/>
    <w:rsid w:val="3D643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rPr>
      <w:rFonts w:ascii="Calibri" w:hAnsi="Calibri"/>
    </w:rPr>
  </w:style>
  <w:style w:type="paragraph" w:styleId="3">
    <w:name w:val="footer"/>
    <w:basedOn w:val="1"/>
    <w:qFormat/>
    <w:uiPriority w:val="0"/>
    <w:pPr>
      <w:widowControl w:val="0"/>
      <w:tabs>
        <w:tab w:val="center" w:pos="4153"/>
        <w:tab w:val="right" w:pos="8306"/>
      </w:tabs>
      <w:snapToGrid w:val="0"/>
      <w:jc w:val="left"/>
    </w:pPr>
    <w:rPr>
      <w:rFonts w:ascii="宋体" w:hAnsi="宋体" w:eastAsia="仿宋_GB2312" w:cs="仿宋_GB2312"/>
      <w:kern w:val="2"/>
      <w:sz w:val="18"/>
      <w:szCs w:val="18"/>
      <w:lang w:val="en-US" w:eastAsia="zh-CN" w:bidi="ar-SA"/>
    </w:rPr>
  </w:style>
  <w:style w:type="paragraph" w:styleId="4">
    <w:name w:val="Body Text First Indent 2"/>
    <w:basedOn w:val="2"/>
    <w:qFormat/>
    <w:uiPriority w:val="0"/>
    <w:pPr>
      <w:spacing w:line="560" w:lineRule="exact"/>
      <w:ind w:firstLine="200" w:firstLineChars="200"/>
    </w:pPr>
    <w:rPr>
      <w:rFonts w:ascii="宋体" w:hAnsi="宋体"/>
      <w:sz w:val="28"/>
      <w:szCs w:val="21"/>
    </w:rPr>
  </w:style>
  <w:style w:type="character" w:styleId="7">
    <w:name w:val="page number"/>
    <w:basedOn w:val="6"/>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51</Pages>
  <Words>18050</Words>
  <Characters>18396</Characters>
  <Lines>0</Lines>
  <Paragraphs>0</Paragraphs>
  <TotalTime>14</TotalTime>
  <ScaleCrop>false</ScaleCrop>
  <LinksUpToDate>false</LinksUpToDate>
  <CharactersWithSpaces>18399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2026-08-07T01:11:00Z</dcterms:created>
  <dc:creator>Elva</dc:creator>
  <cp:lastModifiedBy>涂茜</cp:lastModifiedBy>
  <dcterms:modified xsi:type="dcterms:W3CDTF">2026-08-08T01:32:55Z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75B3675D16A04EB997FACC74D6A01E47_13</vt:lpwstr>
  </property>
  <property fmtid="{D5CDD505-2E9C-101B-9397-08002B2CF9AE}" pid="4" name="KSOTemplateDocerSaveRecord">
    <vt:lpwstr>eyJoZGlkIjoiNTUzZThmYmQ2ZGNhNWEwMWI1Mzk5NTcwZjJiZTNmYTciLCJ1c2VySWQiOiI0NDgxMjkyNjIifQ==</vt:lpwstr>
  </property>
</Properties>
</file>