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DDDF3">
      <w:pPr>
        <w:keepNext w:val="0"/>
        <w:keepLines w:val="0"/>
        <w:pageBreakBefore w:val="0"/>
        <w:widowControl w:val="0"/>
        <w:suppressLineNumbers w:val="0"/>
        <w:shd w:val="clear" w:color="auto" w:fill="auto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640" w:lineRule="exact"/>
        <w:ind w:left="0" w:leftChars="0" w:right="0" w:firstLine="0" w:firstLineChars="0"/>
        <w:jc w:val="left"/>
        <w:textAlignment w:val="auto"/>
        <w:outlineLvl w:val="0"/>
        <w:rPr>
          <w:rFonts w:hint="eastAsia" w:ascii="黑体" w:hAnsi="黑体" w:eastAsia="黑体" w:cs="黑体"/>
          <w:b w:val="0"/>
          <w:bCs/>
          <w:snapToGrid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snapToGrid w:val="0"/>
          <w:color w:val="auto"/>
          <w:kern w:val="0"/>
          <w:sz w:val="28"/>
          <w:szCs w:val="28"/>
          <w:u w:val="none"/>
          <w:lang w:val="en-US" w:eastAsia="zh-CN" w:bidi="ar"/>
        </w:rPr>
        <w:t>附件2</w:t>
      </w:r>
    </w:p>
    <w:p w14:paraId="4AE368A2">
      <w:pPr>
        <w:keepNext w:val="0"/>
        <w:keepLines w:val="0"/>
        <w:pageBreakBefore w:val="0"/>
        <w:widowControl w:val="0"/>
        <w:suppressLineNumbers w:val="0"/>
        <w:shd w:val="clear" w:color="auto" w:fill="auto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640" w:lineRule="exact"/>
        <w:ind w:left="0" w:leftChars="0" w:right="0" w:firstLine="0" w:firstLine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b w:val="0"/>
          <w:bCs/>
          <w:snapToGrid w:val="0"/>
          <w:color w:val="auto"/>
          <w:kern w:val="0"/>
          <w:sz w:val="44"/>
          <w:szCs w:val="44"/>
          <w:u w:val="none"/>
          <w:lang w:val="en-US" w:eastAsia="zh-CN" w:bidi="ar"/>
        </w:rPr>
      </w:pPr>
    </w:p>
    <w:p w14:paraId="06E68715">
      <w:pPr>
        <w:keepNext w:val="0"/>
        <w:keepLines w:val="0"/>
        <w:pageBreakBefore w:val="0"/>
        <w:widowControl w:val="0"/>
        <w:suppressLineNumbers w:val="0"/>
        <w:shd w:val="clear" w:color="auto" w:fill="auto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640" w:lineRule="exact"/>
        <w:ind w:left="0" w:leftChars="0" w:right="0" w:firstLine="0" w:firstLine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b w:val="0"/>
          <w:bCs/>
          <w:snapToGrid w:val="0"/>
          <w:color w:val="auto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/>
          <w:snapToGrid w:val="0"/>
          <w:color w:val="auto"/>
          <w:kern w:val="0"/>
          <w:sz w:val="44"/>
          <w:szCs w:val="44"/>
          <w:u w:val="none"/>
          <w:lang w:val="en-US" w:eastAsia="zh-CN" w:bidi="ar"/>
        </w:rPr>
        <w:t>202</w:t>
      </w:r>
      <w:r>
        <w:rPr>
          <w:rFonts w:hint="eastAsia" w:ascii="Times New Roman" w:hAnsi="Times New Roman" w:eastAsia="方正小标宋简体" w:cs="Times New Roman"/>
          <w:b w:val="0"/>
          <w:bCs/>
          <w:snapToGrid w:val="0"/>
          <w:color w:val="auto"/>
          <w:kern w:val="0"/>
          <w:sz w:val="44"/>
          <w:szCs w:val="44"/>
          <w:u w:val="none"/>
          <w:lang w:val="en-US" w:eastAsia="zh-CN" w:bidi="ar"/>
        </w:rPr>
        <w:t>7</w:t>
      </w:r>
      <w:r>
        <w:rPr>
          <w:rFonts w:hint="default" w:ascii="Times New Roman" w:hAnsi="Times New Roman" w:eastAsia="方正小标宋简体" w:cs="Times New Roman"/>
          <w:b w:val="0"/>
          <w:bCs/>
          <w:snapToGrid w:val="0"/>
          <w:color w:val="auto"/>
          <w:kern w:val="0"/>
          <w:sz w:val="44"/>
          <w:szCs w:val="44"/>
          <w:u w:val="none"/>
          <w:lang w:val="en-US" w:eastAsia="zh-CN" w:bidi="ar"/>
        </w:rPr>
        <w:t>年度江西省国际科技合作项目支持国别</w:t>
      </w:r>
    </w:p>
    <w:p w14:paraId="5535A359">
      <w:pPr>
        <w:keepNext w:val="0"/>
        <w:keepLines w:val="0"/>
        <w:pageBreakBefore w:val="0"/>
        <w:widowControl w:val="0"/>
        <w:suppressLineNumbers w:val="0"/>
        <w:shd w:val="clear" w:color="auto" w:fill="auto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640" w:lineRule="exact"/>
        <w:ind w:left="0" w:leftChars="0" w:right="0" w:firstLine="0" w:firstLine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b w:val="0"/>
          <w:bCs/>
          <w:snapToGrid w:val="0"/>
          <w:color w:val="auto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/>
          <w:snapToGrid w:val="0"/>
          <w:color w:val="auto"/>
          <w:kern w:val="0"/>
          <w:sz w:val="44"/>
          <w:szCs w:val="44"/>
          <w:u w:val="none"/>
          <w:lang w:val="en-US" w:eastAsia="zh-CN" w:bidi="ar"/>
        </w:rPr>
        <w:t>（地区）和领域</w:t>
      </w:r>
      <w:bookmarkEnd w:id="0"/>
    </w:p>
    <w:p w14:paraId="67115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64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 w:val="0"/>
          <w:bCs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</w:p>
    <w:p w14:paraId="73746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64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"/>
        </w:rPr>
        <w:t>聚焦省委、省政府工作部署以及省制造业重点产业链现代化“1269”行动计划，支持省内创新主体联合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"/>
        </w:rPr>
        <w:t>国（境）外科研机构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"/>
        </w:rPr>
        <w:t>，共同开展基础研究、技术创新、成果转移转化等科技合作，特编制202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"/>
        </w:rPr>
        <w:t>7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"/>
        </w:rPr>
        <w:t>年度江西省国际科技合作项目支持国别（地区）和领域。</w:t>
      </w:r>
    </w:p>
    <w:p w14:paraId="56969E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64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 w:bidi="ar"/>
        </w:rPr>
        <w:t>一、支持内容和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资助方式</w:t>
      </w:r>
    </w:p>
    <w:p w14:paraId="460BEA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64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u w:val="none"/>
          <w:lang w:val="en-US" w:eastAsia="zh-CN" w:bidi="ar"/>
        </w:rPr>
        <w:t>202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u w:val="none"/>
          <w:lang w:val="en-US" w:eastAsia="zh-CN" w:bidi="ar"/>
        </w:rPr>
        <w:t>7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u w:val="none"/>
          <w:lang w:val="en-US" w:eastAsia="zh-CN" w:bidi="ar"/>
        </w:rPr>
        <w:t>年度江西省国际科技合作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项目重点支持与发达国家、“一带一路”国家、港澳地区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等开展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科技合作。与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"/>
        </w:rPr>
        <w:t>发达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国家、港澳地区科技合作主要是引进国（境）外优势创新资源，支持我省高校院所、企业等创新主体牵头，联合国（境）外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科研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机构，共同开展基础研究、技术攻关、成果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转移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转化等方面合作，重点解决我省经济社会高质量发展的科技问题；与“一带一路”国家科技合作主要推动“一带一路”共建共享、互惠互利。</w:t>
      </w:r>
    </w:p>
    <w:p w14:paraId="36309D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64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项目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"/>
        </w:rPr>
        <w:t>资金支持额度为每项80万—120万元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u w:val="none"/>
          <w:lang w:val="en-US" w:eastAsia="zh-CN" w:bidi="ar"/>
        </w:rPr>
        <w:t>。</w:t>
      </w:r>
    </w:p>
    <w:p w14:paraId="119DB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64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 w:bidi="ar"/>
        </w:rPr>
        <w:t>二、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 w:bidi="ar"/>
        </w:rPr>
        <w:t>支持国别（地区）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 w:bidi="ar"/>
        </w:rPr>
        <w:t>和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 w:bidi="ar"/>
        </w:rPr>
        <w:t>领域</w:t>
      </w:r>
    </w:p>
    <w:p w14:paraId="46C927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40" w:lineRule="exact"/>
        <w:ind w:left="0" w:leftChars="0" w:firstLine="643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（一）发达国家科技合作</w:t>
      </w:r>
    </w:p>
    <w:p w14:paraId="23A1CB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支持合作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国别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德国、英国、法国、西班牙、加拿大、澳大利亚、新加坡、韩国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、瑞士、比利时、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芬兰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、爱尔兰。</w:t>
      </w:r>
    </w:p>
    <w:p w14:paraId="19494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支持领域：装备制造、新能源、石化化工、医药、人工智能、新材料、绿色低碳（资源与可持续发展）、核技术应用、电子信息、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现代农业、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食品、钢铁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。</w:t>
      </w:r>
    </w:p>
    <w:p w14:paraId="614AE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/>
        </w:rPr>
        <w:t>其他要求：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项目执行期内，双方团队互访不少于4人次(双方各不少于2人次)；组织国际学术交流活动1-2次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。</w:t>
      </w:r>
    </w:p>
    <w:p w14:paraId="49D5CC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40" w:lineRule="exact"/>
        <w:ind w:left="0" w:leftChars="0" w:firstLine="643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（二）“一带一路”国家科技合作</w:t>
      </w:r>
    </w:p>
    <w:p w14:paraId="63222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支持共建“一带一路”高质量发展，与“一带一路”国家开展联合研发、成果转化等“引进来”项目，以及应用示范等“走出去”项目。</w:t>
      </w:r>
    </w:p>
    <w:p w14:paraId="4B2DD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支持合作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国别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：俄罗斯、白俄罗斯、马来西亚、阿联酋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、葡萄牙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埃及、摩洛哥、纳米比亚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哈萨克斯坦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塞尔维亚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、南非、斯里兰卡、巴基斯坦、泰国、乌兹别克斯坦、印度尼西亚、越南、塔吉克斯坦、老挝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、巴西、印度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。</w:t>
      </w:r>
    </w:p>
    <w:p w14:paraId="17AD3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支持领域：装备制造、航空、核技术应用、电子信息、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人工智能、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石化化工、新能源、现代农业、新材料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绿色低碳（资源与可持续发展）、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医药、食品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。</w:t>
      </w:r>
    </w:p>
    <w:p w14:paraId="3E6EE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/>
        </w:rPr>
        <w:t>其他要求：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项目执行期内，双方团队互访不少于4人次(双方各不少于2人次)；组织国际学术交流活动1-2次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。“走出去”项目须在国外不少于1家开展应用示范。</w:t>
      </w:r>
    </w:p>
    <w:p w14:paraId="2DE499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40" w:lineRule="exact"/>
        <w:ind w:left="0" w:leftChars="0" w:firstLine="643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auto"/>
          <w:kern w:val="2"/>
          <w:sz w:val="32"/>
          <w:szCs w:val="32"/>
          <w:u w:val="none"/>
          <w:lang w:val="en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（三）港澳地区科技合作</w:t>
      </w:r>
    </w:p>
    <w:p w14:paraId="5CEEC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支持合作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地区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：香港、澳门。</w:t>
      </w:r>
    </w:p>
    <w:p w14:paraId="24609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支持领域：医药、电子信息、智能制造、绿色低碳（资源与可持续发展）、低空经济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。</w:t>
      </w:r>
    </w:p>
    <w:p w14:paraId="20F7A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其他要求：项目执行期内，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 xml:space="preserve">双方团队互访不少于4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次(双方各不少于2人次)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；组织国际学术交流活动1-2次。</w:t>
      </w:r>
    </w:p>
    <w:p w14:paraId="17553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64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 w:bidi="ar"/>
        </w:rPr>
        <w:t>三、有关要求</w:t>
      </w:r>
    </w:p>
    <w:p w14:paraId="09374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坚持问题导向和目标导向，项目要锚定清晰的科学、技术问题，突出国际科技合作的必要性、可行性、创新性、先进性，设定具体、可考核的目标指标（含明确的科技交流合作目标和考核指标），并在申报书中体现。项目须完成明确的指标要求，以及项目设定的研究任务、研究目标和考核指标。项目实施中要注重合作产出高质量成果和经济、社会效益，注重国际科技合作成效，服务科技外交战略。</w:t>
      </w:r>
    </w:p>
    <w:p w14:paraId="46504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项目资金可用于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技术引进、国际知识产权利用、在境外开展应用示范（验证、实验）、设备调试、维护、升级改造等工作，或参与国际组织合作研究的会费缴纳等，申报时应列入项目预算并作出说明。省级财政资金不能拨付到国（境）外合作单位。</w:t>
      </w:r>
    </w:p>
    <w:p w14:paraId="31588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因国家有关政策要求，稀土领域国际科技合作项目本次不予受理。</w:t>
      </w:r>
    </w:p>
    <w:p w14:paraId="104B8098"/>
    <w:sectPr>
      <w:pgSz w:w="11906" w:h="16838"/>
      <w:pgMar w:top="1701" w:right="1417" w:bottom="1701" w:left="1417" w:header="851" w:footer="141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FECFF7"/>
    <w:rsid w:val="2FFECFF7"/>
    <w:rsid w:val="4E71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1558</Words>
  <Characters>1582</Characters>
  <Lines>0</Lines>
  <Paragraphs>0</Paragraphs>
  <TotalTime>1</TotalTime>
  <ScaleCrop>false</ScaleCrop>
  <LinksUpToDate>false</LinksUpToDate>
  <CharactersWithSpaces>1584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2026-09-29T17:33:00Z</dcterms:created>
  <dc:creator>test</dc:creator>
  <cp:lastModifiedBy>Elva</cp:lastModifiedBy>
  <dcterms:modified xsi:type="dcterms:W3CDTF">2026-09-30T06:27:41Z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7B18D328DE774A77BD8C1081026629C4_13</vt:lpwstr>
  </property>
  <property fmtid="{D5CDD505-2E9C-101B-9397-08002B2CF9AE}" pid="4" name="KSOTemplateDocerSaveRecord">
    <vt:lpwstr>eyJoZGlkIjoiNTUzZThmYmQ2ZGNhNWEwMWI1Mzk5NTcwZjJiZTNmYTciLCJ1c2VySWQiOiI0NDgxMjkyNjIifQ==</vt:lpwstr>
  </property>
</Properties>
</file>